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3F20E">
      <w:pPr>
        <w:spacing w:line="360" w:lineRule="auto"/>
        <w:jc w:val="center"/>
        <w:rPr>
          <w:rFonts w:cs="Arial" w:asciiTheme="minorEastAsia" w:hAnsiTheme="minorEastAsia"/>
          <w:b/>
          <w:sz w:val="36"/>
          <w:szCs w:val="36"/>
        </w:rPr>
      </w:pPr>
      <w:r>
        <w:rPr>
          <w:rFonts w:cs="Arial" w:asciiTheme="minorEastAsia" w:hAnsiTheme="minorEastAsia"/>
          <w:b/>
          <w:sz w:val="36"/>
          <w:szCs w:val="36"/>
        </w:rPr>
        <w:t>汉风润彭城，文脉育新人</w:t>
      </w:r>
    </w:p>
    <w:p w14:paraId="7689D961">
      <w:pPr>
        <w:spacing w:line="360" w:lineRule="auto"/>
        <w:jc w:val="center"/>
        <w:rPr>
          <w:rFonts w:cs="Arial" w:asciiTheme="minorEastAsia" w:hAnsiTheme="minorEastAsia"/>
          <w:b/>
          <w:sz w:val="36"/>
          <w:szCs w:val="36"/>
        </w:rPr>
      </w:pPr>
      <w:r>
        <w:rPr>
          <w:rFonts w:cs="Arial" w:asciiTheme="minorEastAsia" w:hAnsiTheme="minorEastAsia"/>
          <w:b/>
          <w:sz w:val="36"/>
          <w:szCs w:val="36"/>
        </w:rPr>
        <w:t>——</w:t>
      </w:r>
      <w:bookmarkStart w:id="0" w:name="OLE_LINK10"/>
      <w:bookmarkStart w:id="1" w:name="OLE_LINK9"/>
      <w:r>
        <w:rPr>
          <w:rFonts w:cs="Arial" w:asciiTheme="minorEastAsia" w:hAnsiTheme="minorEastAsia"/>
          <w:b/>
          <w:sz w:val="36"/>
          <w:szCs w:val="36"/>
        </w:rPr>
        <w:t>徐州汉文化古迹调研与语文素养融合研究</w:t>
      </w:r>
      <w:bookmarkEnd w:id="0"/>
      <w:bookmarkEnd w:id="1"/>
    </w:p>
    <w:p w14:paraId="2A0516F3">
      <w:pPr>
        <w:spacing w:line="360" w:lineRule="auto"/>
        <w:jc w:val="center"/>
        <w:rPr>
          <w:rFonts w:cs="Arial" w:asciiTheme="minorEastAsia" w:hAnsiTheme="minorEastAsia"/>
          <w:b/>
          <w:sz w:val="36"/>
          <w:szCs w:val="36"/>
        </w:rPr>
      </w:pPr>
      <w:r>
        <w:rPr>
          <w:rFonts w:cs="Arial" w:asciiTheme="minorEastAsia" w:hAnsiTheme="minorEastAsia"/>
          <w:b/>
          <w:sz w:val="36"/>
          <w:szCs w:val="36"/>
        </w:rPr>
        <w:t>开题报告</w:t>
      </w:r>
      <w:bookmarkStart w:id="27" w:name="_GoBack"/>
      <w:bookmarkEnd w:id="27"/>
    </w:p>
    <w:p w14:paraId="02C533EE">
      <w:pPr>
        <w:spacing w:line="360" w:lineRule="auto"/>
        <w:jc w:val="center"/>
        <w:rPr>
          <w:rFonts w:asciiTheme="minorEastAsia" w:hAnsiTheme="minorEastAsia"/>
          <w:sz w:val="36"/>
          <w:szCs w:val="36"/>
        </w:rPr>
      </w:pPr>
    </w:p>
    <w:p w14:paraId="77667287">
      <w:pPr>
        <w:spacing w:line="360" w:lineRule="auto"/>
        <w:ind w:firstLine="562" w:firstLineChars="201"/>
        <w:jc w:val="left"/>
        <w:outlineLvl w:val="1"/>
        <w:rPr>
          <w:rFonts w:hint="eastAsia" w:cs="Arial" w:asciiTheme="minorEastAsia" w:hAnsiTheme="minorEastAsia"/>
          <w:sz w:val="28"/>
          <w:szCs w:val="28"/>
        </w:rPr>
      </w:pPr>
      <w:bookmarkStart w:id="2" w:name="heading_0"/>
      <w:r>
        <w:rPr>
          <w:rFonts w:hint="eastAsia" w:cs="Arial" w:asciiTheme="minorEastAsia" w:hAnsiTheme="minorEastAsia"/>
          <w:sz w:val="28"/>
          <w:szCs w:val="28"/>
        </w:rPr>
        <w:t>学校：中国矿业大学附属中学</w:t>
      </w:r>
    </w:p>
    <w:p w14:paraId="2D04F237">
      <w:pPr>
        <w:spacing w:line="360" w:lineRule="auto"/>
        <w:ind w:firstLine="562" w:firstLineChars="201"/>
        <w:jc w:val="left"/>
        <w:outlineLvl w:val="1"/>
        <w:rPr>
          <w:rFonts w:hint="eastAsia" w:cs="Arial" w:asciiTheme="minorEastAsia" w:hAnsiTheme="minorEastAsia"/>
          <w:sz w:val="28"/>
          <w:szCs w:val="28"/>
        </w:rPr>
      </w:pPr>
      <w:r>
        <w:rPr>
          <w:rFonts w:hint="eastAsia" w:cs="Arial" w:asciiTheme="minorEastAsia" w:hAnsiTheme="minorEastAsia"/>
          <w:sz w:val="28"/>
          <w:szCs w:val="28"/>
        </w:rPr>
        <w:t>研究时间：2025年10月至2026年2月</w:t>
      </w:r>
    </w:p>
    <w:p w14:paraId="4916F0A9">
      <w:pPr>
        <w:spacing w:line="360" w:lineRule="auto"/>
        <w:ind w:firstLine="562" w:firstLineChars="201"/>
        <w:jc w:val="left"/>
        <w:outlineLvl w:val="1"/>
        <w:rPr>
          <w:rFonts w:hint="eastAsia" w:cs="Arial" w:asciiTheme="minorEastAsia" w:hAnsiTheme="minorEastAsia"/>
          <w:sz w:val="28"/>
          <w:szCs w:val="28"/>
        </w:rPr>
      </w:pPr>
      <w:r>
        <w:rPr>
          <w:rFonts w:hint="eastAsia" w:cs="Arial" w:asciiTheme="minorEastAsia" w:hAnsiTheme="minorEastAsia"/>
          <w:sz w:val="28"/>
          <w:szCs w:val="28"/>
        </w:rPr>
        <w:t>班级：初二（3）班</w:t>
      </w:r>
    </w:p>
    <w:p w14:paraId="715A8689">
      <w:pPr>
        <w:spacing w:line="360" w:lineRule="auto"/>
        <w:ind w:firstLine="562" w:firstLineChars="201"/>
        <w:jc w:val="left"/>
        <w:outlineLvl w:val="1"/>
        <w:rPr>
          <w:rFonts w:hint="eastAsia" w:cs="Arial" w:asciiTheme="minorEastAsia" w:hAnsiTheme="minorEastAsia"/>
          <w:sz w:val="28"/>
          <w:szCs w:val="28"/>
        </w:rPr>
      </w:pPr>
      <w:r>
        <w:rPr>
          <w:rFonts w:hint="eastAsia" w:cs="Arial" w:asciiTheme="minorEastAsia" w:hAnsiTheme="minorEastAsia"/>
          <w:sz w:val="28"/>
          <w:szCs w:val="28"/>
        </w:rPr>
        <w:t>课题组成员：吴雨瑶</w:t>
      </w:r>
    </w:p>
    <w:p w14:paraId="6D26FACB">
      <w:pPr>
        <w:spacing w:line="360" w:lineRule="auto"/>
        <w:ind w:firstLine="562" w:firstLineChars="201"/>
        <w:jc w:val="left"/>
        <w:outlineLvl w:val="1"/>
        <w:rPr>
          <w:rFonts w:hint="eastAsia" w:cs="Arial" w:asciiTheme="minorEastAsia" w:hAnsiTheme="minorEastAsia"/>
          <w:sz w:val="28"/>
          <w:szCs w:val="28"/>
        </w:rPr>
      </w:pPr>
      <w:r>
        <w:rPr>
          <w:rFonts w:hint="eastAsia" w:cs="Arial" w:asciiTheme="minorEastAsia" w:hAnsiTheme="minorEastAsia"/>
          <w:sz w:val="28"/>
          <w:szCs w:val="28"/>
        </w:rPr>
        <w:t xml:space="preserve">指导老师：韩书文 </w:t>
      </w:r>
    </w:p>
    <w:p w14:paraId="70EA2051">
      <w:pPr>
        <w:spacing w:line="360" w:lineRule="auto"/>
        <w:ind w:firstLine="562" w:firstLineChars="201"/>
        <w:rPr>
          <w:rFonts w:cs="Arial" w:asciiTheme="minorEastAsia" w:hAnsiTheme="minorEastAsia"/>
          <w:sz w:val="28"/>
          <w:szCs w:val="28"/>
        </w:rPr>
      </w:pPr>
    </w:p>
    <w:p w14:paraId="1E78251A">
      <w:pPr>
        <w:spacing w:line="360" w:lineRule="auto"/>
        <w:ind w:firstLine="565" w:firstLineChars="201"/>
        <w:jc w:val="left"/>
        <w:outlineLvl w:val="1"/>
        <w:rPr>
          <w:rFonts w:asciiTheme="minorEastAsia" w:hAnsiTheme="minorEastAsia"/>
          <w:sz w:val="28"/>
          <w:szCs w:val="28"/>
        </w:rPr>
      </w:pPr>
      <w:r>
        <w:rPr>
          <w:rFonts w:cs="Arial" w:asciiTheme="minorEastAsia" w:hAnsiTheme="minorEastAsia"/>
          <w:b/>
          <w:sz w:val="28"/>
          <w:szCs w:val="28"/>
        </w:rPr>
        <w:t>一、课题研究背景与意义</w:t>
      </w:r>
      <w:bookmarkEnd w:id="2"/>
    </w:p>
    <w:p w14:paraId="6D10CC3F">
      <w:pPr>
        <w:spacing w:line="360" w:lineRule="auto"/>
        <w:ind w:firstLine="565" w:firstLineChars="201"/>
        <w:jc w:val="left"/>
        <w:outlineLvl w:val="2"/>
        <w:rPr>
          <w:rFonts w:asciiTheme="minorEastAsia" w:hAnsiTheme="minorEastAsia"/>
          <w:sz w:val="28"/>
          <w:szCs w:val="28"/>
        </w:rPr>
      </w:pPr>
      <w:bookmarkStart w:id="3" w:name="heading_1"/>
      <w:r>
        <w:rPr>
          <w:rFonts w:cs="Arial" w:asciiTheme="minorEastAsia" w:hAnsiTheme="minorEastAsia"/>
          <w:b/>
          <w:sz w:val="28"/>
          <w:szCs w:val="28"/>
        </w:rPr>
        <w:t>（一）研究背景</w:t>
      </w:r>
      <w:bookmarkEnd w:id="3"/>
    </w:p>
    <w:p w14:paraId="1190CFEF">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徐州，古称彭城，乃华夏九州之一，素有“两汉文化看徐州”之盛誉，是汉文化的重要发祥地与核心承载地。作为汉高祖刘邦的故里、汉代楚王的封地，这座古城地下埋着“半部汉代史”，地上留存着海量汉文化遗产，形成了独具特色的汉风文脉。其中，如图</w:t>
      </w:r>
      <w:r>
        <w:rPr>
          <w:rFonts w:hint="eastAsia" w:cs="Arial" w:asciiTheme="minorEastAsia" w:hAnsiTheme="minorEastAsia"/>
          <w:sz w:val="28"/>
          <w:szCs w:val="28"/>
        </w:rPr>
        <w:t>1所示</w:t>
      </w:r>
      <w:r>
        <w:rPr>
          <w:rFonts w:cs="Arial" w:asciiTheme="minorEastAsia" w:hAnsiTheme="minorEastAsia"/>
          <w:sz w:val="28"/>
          <w:szCs w:val="28"/>
        </w:rPr>
        <w:t>徐州市区的</w:t>
      </w:r>
      <w:bookmarkStart w:id="4" w:name="OLE_LINK1"/>
      <w:bookmarkStart w:id="5" w:name="OLE_LINK2"/>
      <w:r>
        <w:rPr>
          <w:rFonts w:cs="Arial" w:asciiTheme="minorEastAsia" w:hAnsiTheme="minorEastAsia"/>
          <w:sz w:val="28"/>
          <w:szCs w:val="28"/>
        </w:rPr>
        <w:t>狮子山楚王陵</w:t>
      </w:r>
      <w:bookmarkEnd w:id="4"/>
      <w:bookmarkEnd w:id="5"/>
      <w:r>
        <w:rPr>
          <w:rFonts w:cs="Arial" w:asciiTheme="minorEastAsia" w:hAnsiTheme="minorEastAsia"/>
          <w:sz w:val="28"/>
          <w:szCs w:val="28"/>
        </w:rPr>
        <w:t>、</w:t>
      </w:r>
      <w:bookmarkStart w:id="6" w:name="OLE_LINK3"/>
      <w:r>
        <w:rPr>
          <w:rFonts w:cs="Arial" w:asciiTheme="minorEastAsia" w:hAnsiTheme="minorEastAsia"/>
          <w:sz w:val="28"/>
          <w:szCs w:val="28"/>
        </w:rPr>
        <w:t>汉画像石馆</w:t>
      </w:r>
      <w:bookmarkEnd w:id="6"/>
      <w:r>
        <w:rPr>
          <w:rFonts w:cs="Arial" w:asciiTheme="minorEastAsia" w:hAnsiTheme="minorEastAsia"/>
          <w:sz w:val="28"/>
          <w:szCs w:val="28"/>
        </w:rPr>
        <w:t>、</w:t>
      </w:r>
      <w:bookmarkStart w:id="7" w:name="OLE_LINK4"/>
      <w:r>
        <w:rPr>
          <w:rFonts w:cs="Arial" w:asciiTheme="minorEastAsia" w:hAnsiTheme="minorEastAsia"/>
          <w:sz w:val="28"/>
          <w:szCs w:val="28"/>
        </w:rPr>
        <w:t>徐州博物馆</w:t>
      </w:r>
      <w:bookmarkEnd w:id="7"/>
      <w:r>
        <w:rPr>
          <w:rFonts w:cs="Arial" w:asciiTheme="minorEastAsia" w:hAnsiTheme="minorEastAsia"/>
          <w:sz w:val="28"/>
          <w:szCs w:val="28"/>
        </w:rPr>
        <w:t>、</w:t>
      </w:r>
      <w:bookmarkStart w:id="8" w:name="OLE_LINK5"/>
      <w:bookmarkStart w:id="9" w:name="OLE_LINK6"/>
      <w:r>
        <w:rPr>
          <w:rFonts w:cs="Arial" w:asciiTheme="minorEastAsia" w:hAnsiTheme="minorEastAsia"/>
          <w:sz w:val="28"/>
          <w:szCs w:val="28"/>
        </w:rPr>
        <w:t>戏马台</w:t>
      </w:r>
      <w:bookmarkEnd w:id="8"/>
      <w:bookmarkEnd w:id="9"/>
      <w:r>
        <w:rPr>
          <w:rFonts w:cs="Arial" w:asciiTheme="minorEastAsia" w:hAnsiTheme="minorEastAsia"/>
          <w:sz w:val="28"/>
          <w:szCs w:val="28"/>
        </w:rPr>
        <w:t>，与丰县刘邦故里文化景区交相辉映，从“凿山为藏”的帝王陵寝到阵列肃然的地下军团，从“石上史诗”的画像石刻到承载高祖初心的故里故址，每一处古迹都镌刻着汉代的兴衰更替，每一件文物都承载着古人的智慧才情，每一段典故都浸润着中华传统文化的深厚底蕴。</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2"/>
        <w:gridCol w:w="4643"/>
      </w:tblGrid>
      <w:tr w14:paraId="4D548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2" w:type="dxa"/>
            <w:vAlign w:val="center"/>
          </w:tcPr>
          <w:p w14:paraId="398EFF0D">
            <w:pPr>
              <w:spacing w:line="360" w:lineRule="auto"/>
              <w:jc w:val="center"/>
              <w:rPr>
                <w:rFonts w:asciiTheme="minorEastAsia" w:hAnsiTheme="minorEastAsia"/>
                <w:sz w:val="28"/>
                <w:szCs w:val="28"/>
              </w:rPr>
            </w:pPr>
            <w:r>
              <w:rPr>
                <w:rFonts w:asciiTheme="minorEastAsia" w:hAnsiTheme="minorEastAsia"/>
                <w:sz w:val="28"/>
                <w:szCs w:val="28"/>
              </w:rPr>
              <w:drawing>
                <wp:inline distT="0" distB="0" distL="0" distR="0">
                  <wp:extent cx="2440305" cy="35998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40800" cy="3600000"/>
                          </a:xfrm>
                          <a:prstGeom prst="rect">
                            <a:avLst/>
                          </a:prstGeom>
                        </pic:spPr>
                      </pic:pic>
                    </a:graphicData>
                  </a:graphic>
                </wp:inline>
              </w:drawing>
            </w:r>
          </w:p>
        </w:tc>
        <w:tc>
          <w:tcPr>
            <w:tcW w:w="4643" w:type="dxa"/>
            <w:vAlign w:val="center"/>
          </w:tcPr>
          <w:p w14:paraId="1B06921D">
            <w:pPr>
              <w:spacing w:line="360" w:lineRule="auto"/>
              <w:jc w:val="center"/>
              <w:rPr>
                <w:rFonts w:asciiTheme="minorEastAsia" w:hAnsiTheme="minorEastAsia"/>
                <w:sz w:val="28"/>
                <w:szCs w:val="28"/>
              </w:rPr>
            </w:pPr>
            <w:r>
              <w:rPr>
                <w:rFonts w:asciiTheme="minorEastAsia" w:hAnsiTheme="minorEastAsia"/>
                <w:sz w:val="28"/>
                <w:szCs w:val="28"/>
              </w:rPr>
              <w:drawing>
                <wp:inline distT="0" distB="0" distL="0" distR="0">
                  <wp:extent cx="2699385" cy="35998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00000" cy="3600000"/>
                          </a:xfrm>
                          <a:prstGeom prst="rect">
                            <a:avLst/>
                          </a:prstGeom>
                        </pic:spPr>
                      </pic:pic>
                    </a:graphicData>
                  </a:graphic>
                </wp:inline>
              </w:drawing>
            </w:r>
          </w:p>
        </w:tc>
      </w:tr>
      <w:tr w14:paraId="3C12C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2" w:type="dxa"/>
            <w:vAlign w:val="center"/>
          </w:tcPr>
          <w:p w14:paraId="07AA0FC1">
            <w:pPr>
              <w:spacing w:line="360" w:lineRule="auto"/>
              <w:jc w:val="center"/>
              <w:rPr>
                <w:rFonts w:asciiTheme="minorEastAsia" w:hAnsiTheme="minorEastAsia"/>
                <w:sz w:val="28"/>
                <w:szCs w:val="28"/>
              </w:rPr>
            </w:pPr>
            <w:r>
              <w:rPr>
                <w:rFonts w:asciiTheme="minorEastAsia" w:hAnsiTheme="minorEastAsia"/>
                <w:sz w:val="28"/>
                <w:szCs w:val="28"/>
              </w:rPr>
              <w:t>狮子山楚王陵</w:t>
            </w:r>
          </w:p>
        </w:tc>
        <w:tc>
          <w:tcPr>
            <w:tcW w:w="4643" w:type="dxa"/>
            <w:vAlign w:val="center"/>
          </w:tcPr>
          <w:p w14:paraId="62A254D7">
            <w:pPr>
              <w:spacing w:line="360" w:lineRule="auto"/>
              <w:jc w:val="center"/>
              <w:rPr>
                <w:rFonts w:asciiTheme="minorEastAsia" w:hAnsiTheme="minorEastAsia"/>
                <w:sz w:val="28"/>
                <w:szCs w:val="28"/>
              </w:rPr>
            </w:pPr>
            <w:r>
              <w:rPr>
                <w:rFonts w:asciiTheme="minorEastAsia" w:hAnsiTheme="minorEastAsia"/>
                <w:sz w:val="28"/>
                <w:szCs w:val="28"/>
              </w:rPr>
              <w:t>汉画像石馆</w:t>
            </w:r>
          </w:p>
        </w:tc>
      </w:tr>
      <w:tr w14:paraId="654AE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2" w:type="dxa"/>
            <w:vAlign w:val="center"/>
          </w:tcPr>
          <w:p w14:paraId="219E45A3">
            <w:pPr>
              <w:spacing w:line="360" w:lineRule="auto"/>
              <w:jc w:val="center"/>
              <w:rPr>
                <w:rFonts w:asciiTheme="minorEastAsia" w:hAnsiTheme="minorEastAsia"/>
                <w:sz w:val="28"/>
                <w:szCs w:val="28"/>
              </w:rPr>
            </w:pPr>
            <w:r>
              <w:rPr>
                <w:rFonts w:asciiTheme="minorEastAsia" w:hAnsiTheme="minorEastAsia"/>
                <w:sz w:val="28"/>
                <w:szCs w:val="28"/>
              </w:rPr>
              <w:drawing>
                <wp:inline distT="0" distB="0" distL="0" distR="0">
                  <wp:extent cx="2764790" cy="35998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64800" cy="3600000"/>
                          </a:xfrm>
                          <a:prstGeom prst="rect">
                            <a:avLst/>
                          </a:prstGeom>
                        </pic:spPr>
                      </pic:pic>
                    </a:graphicData>
                  </a:graphic>
                </wp:inline>
              </w:drawing>
            </w:r>
          </w:p>
        </w:tc>
        <w:tc>
          <w:tcPr>
            <w:tcW w:w="4643" w:type="dxa"/>
            <w:vAlign w:val="center"/>
          </w:tcPr>
          <w:p w14:paraId="5F8E7E30">
            <w:pPr>
              <w:spacing w:line="360" w:lineRule="auto"/>
              <w:jc w:val="center"/>
              <w:rPr>
                <w:rFonts w:asciiTheme="minorEastAsia" w:hAnsiTheme="minorEastAsia"/>
                <w:sz w:val="28"/>
                <w:szCs w:val="28"/>
              </w:rPr>
            </w:pPr>
            <w:r>
              <w:rPr>
                <w:rFonts w:asciiTheme="minorEastAsia" w:hAnsiTheme="minorEastAsia"/>
                <w:sz w:val="28"/>
                <w:szCs w:val="28"/>
              </w:rPr>
              <w:drawing>
                <wp:inline distT="0" distB="0" distL="0" distR="0">
                  <wp:extent cx="2699385" cy="35998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00000" cy="3600000"/>
                          </a:xfrm>
                          <a:prstGeom prst="rect">
                            <a:avLst/>
                          </a:prstGeom>
                        </pic:spPr>
                      </pic:pic>
                    </a:graphicData>
                  </a:graphic>
                </wp:inline>
              </w:drawing>
            </w:r>
          </w:p>
        </w:tc>
      </w:tr>
      <w:tr w14:paraId="14FCE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2" w:type="dxa"/>
            <w:vAlign w:val="center"/>
          </w:tcPr>
          <w:p w14:paraId="713EDC28">
            <w:pPr>
              <w:spacing w:line="360" w:lineRule="auto"/>
              <w:jc w:val="center"/>
              <w:rPr>
                <w:rFonts w:asciiTheme="minorEastAsia" w:hAnsiTheme="minorEastAsia"/>
                <w:sz w:val="28"/>
                <w:szCs w:val="28"/>
              </w:rPr>
            </w:pPr>
            <w:r>
              <w:rPr>
                <w:rFonts w:asciiTheme="minorEastAsia" w:hAnsiTheme="minorEastAsia"/>
                <w:sz w:val="28"/>
                <w:szCs w:val="28"/>
              </w:rPr>
              <w:t>徐州博物馆</w:t>
            </w:r>
          </w:p>
        </w:tc>
        <w:tc>
          <w:tcPr>
            <w:tcW w:w="4643" w:type="dxa"/>
            <w:vAlign w:val="center"/>
          </w:tcPr>
          <w:p w14:paraId="0D81B8D5">
            <w:pPr>
              <w:spacing w:line="360" w:lineRule="auto"/>
              <w:jc w:val="center"/>
              <w:rPr>
                <w:rFonts w:asciiTheme="minorEastAsia" w:hAnsiTheme="minorEastAsia"/>
                <w:sz w:val="28"/>
                <w:szCs w:val="28"/>
              </w:rPr>
            </w:pPr>
            <w:r>
              <w:rPr>
                <w:rFonts w:asciiTheme="minorEastAsia" w:hAnsiTheme="minorEastAsia"/>
                <w:sz w:val="28"/>
                <w:szCs w:val="28"/>
              </w:rPr>
              <w:t>戏马台</w:t>
            </w:r>
          </w:p>
        </w:tc>
      </w:tr>
    </w:tbl>
    <w:p w14:paraId="39B1078A">
      <w:pPr>
        <w:spacing w:line="360" w:lineRule="auto"/>
        <w:ind w:firstLine="562" w:firstLineChars="201"/>
        <w:jc w:val="center"/>
        <w:rPr>
          <w:rFonts w:asciiTheme="minorEastAsia" w:hAnsiTheme="minorEastAsia"/>
          <w:sz w:val="28"/>
          <w:szCs w:val="28"/>
        </w:rPr>
      </w:pPr>
      <w:r>
        <w:rPr>
          <w:rFonts w:asciiTheme="minorEastAsia" w:hAnsiTheme="minorEastAsia"/>
          <w:sz w:val="28"/>
          <w:szCs w:val="28"/>
        </w:rPr>
        <w:t>图</w:t>
      </w:r>
      <w:r>
        <w:rPr>
          <w:rFonts w:hint="eastAsia" w:asciiTheme="minorEastAsia" w:hAnsiTheme="minorEastAsia"/>
          <w:sz w:val="28"/>
          <w:szCs w:val="28"/>
        </w:rPr>
        <w:t>1徐州市汉文化建筑</w:t>
      </w:r>
    </w:p>
    <w:p w14:paraId="6A6C9DC8">
      <w:pPr>
        <w:spacing w:line="360" w:lineRule="auto"/>
        <w:ind w:firstLine="562" w:firstLineChars="201"/>
        <w:rPr>
          <w:rFonts w:asciiTheme="minorEastAsia" w:hAnsiTheme="minorEastAsia"/>
          <w:sz w:val="28"/>
          <w:szCs w:val="28"/>
        </w:rPr>
      </w:pPr>
      <w:r>
        <w:rPr>
          <w:rFonts w:cs="Arial" w:asciiTheme="minorEastAsia" w:hAnsiTheme="minorEastAsia"/>
          <w:sz w:val="28"/>
          <w:szCs w:val="28"/>
        </w:rPr>
        <w:t>语文课程标准明确要求，初中阶段需引导学生“认识中华文化的丰厚博大，汲取民族文化智慧”，注重培养语文综合实践能力，鼓励学生走出课堂，在生活中学习语文、运用语文。八年级语文教材中，文言文单元、传统文化单元与地方文化专题紧密结合，《史记》选篇、古典诗词等内容，与徐州汉文化中的历史典故、诗文遗存有着天然的契合点。寒假及春节期间，正值辞旧迎新、传承文化的关键节点，年味与汉风交融，为我们走进古迹、感悟文化提供了绝佳契机。当前，我校八年级学生已具备一定的文言文阅读、记叙文写作与信息筛选能力，但对家乡汉文化的了解多停留在课本碎片知识，缺乏系统认知与实地感知，尤其对丰县刘邦故里的文化内涵了解甚少，难以将汉文化遗产与语文学习有机融合，未能充分发挥地方文化对语文素养的滋养作用。</w:t>
      </w:r>
    </w:p>
    <w:p w14:paraId="3A518031">
      <w:pPr>
        <w:spacing w:line="360" w:lineRule="auto"/>
        <w:ind w:firstLine="562" w:firstLineChars="201"/>
        <w:rPr>
          <w:rFonts w:asciiTheme="minorEastAsia" w:hAnsiTheme="minorEastAsia"/>
          <w:sz w:val="28"/>
          <w:szCs w:val="28"/>
        </w:rPr>
      </w:pPr>
      <w:r>
        <w:rPr>
          <w:rFonts w:cs="Arial" w:asciiTheme="minorEastAsia" w:hAnsiTheme="minorEastAsia"/>
          <w:sz w:val="28"/>
          <w:szCs w:val="28"/>
        </w:rPr>
        <w:t>为响应课程改革要求，落实“文化自信”育人目标，结合八年级学生的认知特点、语文学习需求，以及寒假、春节的时间优势，我们决定以“徐州市区+丰县刘邦故里文化景区”汉文化古迹调研为载体，通过实地走访、文献查阅、访谈交流等多种形式，深入探究徐州汉文化遗产的丰富内涵，挖掘其与语文学习的内在关联，让学生在春节年味中感受汉风文脉，在实践中提升语文综合能力，传承中华优秀传统文化，增强对家乡的认同感与自豪感。</w:t>
      </w:r>
    </w:p>
    <w:p w14:paraId="66B5335B">
      <w:pPr>
        <w:spacing w:line="360" w:lineRule="auto"/>
        <w:ind w:firstLine="565" w:firstLineChars="201"/>
        <w:jc w:val="left"/>
        <w:outlineLvl w:val="2"/>
        <w:rPr>
          <w:rFonts w:asciiTheme="minorEastAsia" w:hAnsiTheme="minorEastAsia"/>
          <w:sz w:val="28"/>
          <w:szCs w:val="28"/>
        </w:rPr>
      </w:pPr>
      <w:bookmarkStart w:id="10" w:name="heading_2"/>
      <w:r>
        <w:rPr>
          <w:rFonts w:cs="Arial" w:asciiTheme="minorEastAsia" w:hAnsiTheme="minorEastAsia"/>
          <w:b/>
          <w:sz w:val="28"/>
          <w:szCs w:val="28"/>
        </w:rPr>
        <w:t>（二）研究意义</w:t>
      </w:r>
      <w:bookmarkEnd w:id="10"/>
    </w:p>
    <w:p w14:paraId="34124CFD">
      <w:pPr>
        <w:spacing w:line="360" w:lineRule="auto"/>
        <w:ind w:firstLine="565" w:firstLineChars="201"/>
        <w:jc w:val="left"/>
        <w:outlineLvl w:val="3"/>
        <w:rPr>
          <w:rFonts w:asciiTheme="minorEastAsia" w:hAnsiTheme="minorEastAsia"/>
          <w:sz w:val="28"/>
          <w:szCs w:val="28"/>
        </w:rPr>
      </w:pPr>
      <w:bookmarkStart w:id="11" w:name="heading_3"/>
      <w:r>
        <w:rPr>
          <w:rFonts w:cs="Arial" w:asciiTheme="minorEastAsia" w:hAnsiTheme="minorEastAsia"/>
          <w:b/>
          <w:sz w:val="28"/>
          <w:szCs w:val="28"/>
        </w:rPr>
        <w:t>1.文化意义</w:t>
      </w:r>
      <w:bookmarkEnd w:id="11"/>
    </w:p>
    <w:p w14:paraId="7AE23C14">
      <w:pPr>
        <w:spacing w:line="360" w:lineRule="auto"/>
        <w:ind w:firstLine="562" w:firstLineChars="201"/>
        <w:rPr>
          <w:rFonts w:asciiTheme="minorEastAsia" w:hAnsiTheme="minorEastAsia"/>
          <w:sz w:val="28"/>
          <w:szCs w:val="28"/>
        </w:rPr>
      </w:pPr>
      <w:r>
        <w:rPr>
          <w:rFonts w:cs="Arial" w:asciiTheme="minorEastAsia" w:hAnsiTheme="minorEastAsia"/>
          <w:sz w:val="28"/>
          <w:szCs w:val="28"/>
        </w:rPr>
        <w:t>徐州汉文化是中华优秀传统文化的重要组成部分，汉墓、汉兵马俑、汉画像石被誉为“汉代三绝”，丰县刘邦故里则是汉文化的源头所在，二者共同构成了徐州汉文化的核心脉络，是不可再生的文化瑰宝。寒假春节期间开展调研，既能让我们系统了解徐州市区与丰县刘邦故里汉文化的历史渊源、核心内涵与保护现状，梳理汉文化与徐州地域发展的内在联系，更能借助春节的文化氛围，传承汉风文脉、弘扬传统美德，增强文化自信，树立保护文化遗产的责任意识，让千年汉文化在新时代春节的喜庆氛围中焕发新的生机。</w:t>
      </w:r>
    </w:p>
    <w:p w14:paraId="6C111FD5">
      <w:pPr>
        <w:spacing w:line="360" w:lineRule="auto"/>
        <w:ind w:firstLine="565" w:firstLineChars="201"/>
        <w:outlineLvl w:val="3"/>
        <w:rPr>
          <w:rFonts w:asciiTheme="minorEastAsia" w:hAnsiTheme="minorEastAsia"/>
          <w:sz w:val="28"/>
          <w:szCs w:val="28"/>
        </w:rPr>
      </w:pPr>
      <w:bookmarkStart w:id="12" w:name="heading_4"/>
      <w:r>
        <w:rPr>
          <w:rFonts w:cs="Arial" w:asciiTheme="minorEastAsia" w:hAnsiTheme="minorEastAsia"/>
          <w:b/>
          <w:sz w:val="28"/>
          <w:szCs w:val="28"/>
        </w:rPr>
        <w:t>2.语文意义</w:t>
      </w:r>
      <w:bookmarkEnd w:id="12"/>
    </w:p>
    <w:p w14:paraId="523FF781">
      <w:pPr>
        <w:spacing w:line="360" w:lineRule="auto"/>
        <w:ind w:firstLine="562" w:firstLineChars="201"/>
        <w:rPr>
          <w:rFonts w:asciiTheme="minorEastAsia" w:hAnsiTheme="minorEastAsia"/>
          <w:sz w:val="28"/>
          <w:szCs w:val="28"/>
        </w:rPr>
      </w:pPr>
      <w:r>
        <w:rPr>
          <w:rFonts w:cs="Arial" w:asciiTheme="minorEastAsia" w:hAnsiTheme="minorEastAsia"/>
          <w:sz w:val="28"/>
          <w:szCs w:val="28"/>
        </w:rPr>
        <w:t>本次研究紧扣八年级语文学习重点，结合寒假、春节时间节点，将徐州市区与丰县刘邦故里汉文化古迹调研，与文言文阅读、记叙文写作、口语表达、素材积累等语文核心素养紧密结合。通过走访观察、笔记记录、访谈交流、文稿撰写等实践活动，既能丰富学生的语文学习素材（如春节期间古迹的文化活动、刘邦故里的民俗与典故），提升阅读感悟、文字表达与信息整理能力，又能让学生体会“语文源于生活、用于生活”的真谛，打破课堂与生活的界限，实现“在实践中学习语文，在探究中提升素养”的目标，让寒假学习更具实践性与趣味性。</w:t>
      </w:r>
    </w:p>
    <w:p w14:paraId="49FA773C">
      <w:pPr>
        <w:spacing w:line="360" w:lineRule="auto"/>
        <w:ind w:firstLine="565" w:firstLineChars="201"/>
        <w:outlineLvl w:val="3"/>
        <w:rPr>
          <w:rFonts w:asciiTheme="minorEastAsia" w:hAnsiTheme="minorEastAsia"/>
          <w:sz w:val="28"/>
          <w:szCs w:val="28"/>
        </w:rPr>
      </w:pPr>
      <w:bookmarkStart w:id="13" w:name="heading_5"/>
      <w:r>
        <w:rPr>
          <w:rFonts w:cs="Arial" w:asciiTheme="minorEastAsia" w:hAnsiTheme="minorEastAsia"/>
          <w:b/>
          <w:sz w:val="28"/>
          <w:szCs w:val="28"/>
        </w:rPr>
        <w:t>3.个人成长意义</w:t>
      </w:r>
      <w:bookmarkEnd w:id="13"/>
    </w:p>
    <w:p w14:paraId="255EC869">
      <w:pPr>
        <w:spacing w:line="360" w:lineRule="auto"/>
        <w:ind w:firstLine="562" w:firstLineChars="201"/>
        <w:rPr>
          <w:rFonts w:asciiTheme="minorEastAsia" w:hAnsiTheme="minorEastAsia"/>
          <w:sz w:val="28"/>
          <w:szCs w:val="28"/>
        </w:rPr>
      </w:pPr>
      <w:r>
        <w:rPr>
          <w:rFonts w:cs="Arial" w:asciiTheme="minorEastAsia" w:hAnsiTheme="minorEastAsia"/>
          <w:sz w:val="28"/>
          <w:szCs w:val="28"/>
        </w:rPr>
        <w:t>八年级是学生价值观形成与综合能力提升的关键时期，寒假春节期间开展小组合作调研，既能合理利用假期时间，丰富假期生活，又能培养学生的团队协作、沟通表达、问题解决与自主探究能力；通过实地走访市区古迹、探访丰县刘邦故里，触摸历史遗存、感受春节年味与汉风交融的独特魅力，能拓宽学生的视野，丰富人生阅历，让学生在感受汉文化魅力的同时，学会观察生活、思考问题，培养严谨的探究态度与高雅的审美情趣，实现学识与品格的双重提升。</w:t>
      </w:r>
    </w:p>
    <w:p w14:paraId="1CD25CAA">
      <w:pPr>
        <w:spacing w:line="360" w:lineRule="auto"/>
        <w:ind w:firstLine="565" w:firstLineChars="201"/>
        <w:outlineLvl w:val="1"/>
        <w:rPr>
          <w:rFonts w:asciiTheme="minorEastAsia" w:hAnsiTheme="minorEastAsia"/>
          <w:sz w:val="28"/>
          <w:szCs w:val="28"/>
        </w:rPr>
      </w:pPr>
      <w:bookmarkStart w:id="14" w:name="heading_6"/>
      <w:r>
        <w:rPr>
          <w:rFonts w:cs="Arial" w:asciiTheme="minorEastAsia" w:hAnsiTheme="minorEastAsia"/>
          <w:b/>
          <w:sz w:val="28"/>
          <w:szCs w:val="28"/>
        </w:rPr>
        <w:t>二、课题研究目标</w:t>
      </w:r>
      <w:bookmarkEnd w:id="14"/>
    </w:p>
    <w:p w14:paraId="59C5D97D">
      <w:pPr>
        <w:spacing w:line="360" w:lineRule="auto"/>
        <w:ind w:firstLine="565" w:firstLineChars="202"/>
        <w:rPr>
          <w:rFonts w:cs="Arial" w:asciiTheme="minorEastAsia" w:hAnsiTheme="minorEastAsia"/>
          <w:sz w:val="28"/>
          <w:szCs w:val="28"/>
        </w:rPr>
      </w:pPr>
      <w:r>
        <w:rPr>
          <w:rFonts w:hint="eastAsia" w:cs="Arial" w:asciiTheme="minorEastAsia" w:hAnsiTheme="minorEastAsia"/>
          <w:sz w:val="28"/>
          <w:szCs w:val="28"/>
        </w:rPr>
        <w:t>1.了解徐州主要汉文化古迹（汉兵马俑博物馆、龟山汉墓、汉画像石艺术馆、戏马台等）的地理位置、历史背景与现存状况，掌握“汉代三绝”的基本特点与文化内涵，挖掘古迹中蕴含的语文元素（碑刻、典故、文字、人文故事等）。</w:t>
      </w:r>
    </w:p>
    <w:p w14:paraId="22B643C3">
      <w:pPr>
        <w:spacing w:line="360" w:lineRule="auto"/>
        <w:ind w:firstLine="565" w:firstLineChars="202"/>
        <w:rPr>
          <w:rFonts w:cs="Arial" w:asciiTheme="minorEastAsia" w:hAnsiTheme="minorEastAsia"/>
          <w:sz w:val="28"/>
          <w:szCs w:val="28"/>
        </w:rPr>
      </w:pPr>
      <w:r>
        <w:rPr>
          <w:rFonts w:hint="eastAsia" w:cs="Arial" w:asciiTheme="minorEastAsia" w:hAnsiTheme="minorEastAsia"/>
          <w:sz w:val="28"/>
          <w:szCs w:val="28"/>
        </w:rPr>
        <w:t>2.通过实地走访、访谈博物馆工作人员、文化学者（或本地老人）、语文教师，收集一手资料，梳理徐州汉文化古迹与语文学习的内在关联，发现当前汉文化古迹资源与语文素养培养融合过程中存在的问题。</w:t>
      </w:r>
    </w:p>
    <w:p w14:paraId="335D3C56">
      <w:pPr>
        <w:spacing w:line="360" w:lineRule="auto"/>
        <w:ind w:firstLine="565" w:firstLineChars="202"/>
        <w:rPr>
          <w:rFonts w:cs="Arial" w:asciiTheme="minorEastAsia" w:hAnsiTheme="minorEastAsia"/>
          <w:sz w:val="28"/>
          <w:szCs w:val="28"/>
        </w:rPr>
      </w:pPr>
      <w:r>
        <w:rPr>
          <w:rFonts w:hint="eastAsia" w:cs="Arial" w:asciiTheme="minorEastAsia" w:hAnsiTheme="minorEastAsia"/>
          <w:sz w:val="28"/>
          <w:szCs w:val="28"/>
        </w:rPr>
        <w:t>3.结合八年级语文知识与学习要求，整理调研资料，撰写调研报告，尝试提出适合八年级学生的汉文化古迹调研与语文素养融合的具体路径，做到语句通顺、逻辑清晰、用词高雅，符合八年级学生的认知水平与表达能力。</w:t>
      </w:r>
    </w:p>
    <w:p w14:paraId="1929ADBE">
      <w:pPr>
        <w:spacing w:line="360" w:lineRule="auto"/>
        <w:ind w:firstLine="565" w:firstLineChars="202"/>
        <w:rPr>
          <w:rFonts w:cs="Arial" w:asciiTheme="minorEastAsia" w:hAnsiTheme="minorEastAsia"/>
          <w:sz w:val="28"/>
          <w:szCs w:val="28"/>
        </w:rPr>
      </w:pPr>
      <w:r>
        <w:rPr>
          <w:rFonts w:hint="eastAsia" w:cs="Arial" w:asciiTheme="minorEastAsia" w:hAnsiTheme="minorEastAsia"/>
          <w:sz w:val="28"/>
          <w:szCs w:val="28"/>
        </w:rPr>
        <w:t>4.通过本次研究，提升自身的语文核心素养（阅读、写作、表达、审美）与实践探究能力，增强对本土文化的热爱与文化自信，主动承担起传承中华优秀传统文化与提升语文素养的双重责任</w:t>
      </w:r>
      <w:r>
        <w:rPr>
          <w:rFonts w:cs="Arial" w:asciiTheme="minorEastAsia" w:hAnsiTheme="minorEastAsia"/>
          <w:sz w:val="28"/>
          <w:szCs w:val="28"/>
        </w:rPr>
        <w:t>。</w:t>
      </w:r>
    </w:p>
    <w:p w14:paraId="572299DA">
      <w:pPr>
        <w:spacing w:line="360" w:lineRule="auto"/>
        <w:ind w:firstLine="565" w:firstLineChars="201"/>
        <w:outlineLvl w:val="1"/>
        <w:rPr>
          <w:rFonts w:asciiTheme="minorEastAsia" w:hAnsiTheme="minorEastAsia"/>
          <w:sz w:val="28"/>
          <w:szCs w:val="28"/>
        </w:rPr>
      </w:pPr>
      <w:bookmarkStart w:id="15" w:name="heading_7"/>
      <w:r>
        <w:rPr>
          <w:rFonts w:cs="Arial" w:asciiTheme="minorEastAsia" w:hAnsiTheme="minorEastAsia"/>
          <w:b/>
          <w:sz w:val="28"/>
          <w:szCs w:val="28"/>
        </w:rPr>
        <w:t>三、</w:t>
      </w:r>
      <w:bookmarkEnd w:id="15"/>
      <w:r>
        <w:rPr>
          <w:rFonts w:hint="eastAsia" w:cs="Arial" w:asciiTheme="minorEastAsia" w:hAnsiTheme="minorEastAsia"/>
          <w:b/>
          <w:sz w:val="28"/>
          <w:szCs w:val="28"/>
        </w:rPr>
        <w:t>课题研究内容</w:t>
      </w:r>
    </w:p>
    <w:p w14:paraId="3BC12B21">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1.徐州汉文化古迹概况及语文元素梳理：详细介绍徐州主要汉文化古迹的地理位置、历史背景、建筑特点与文物遗存，重点解读“汉代三绝”的文化内涵，深入挖掘古迹中蕴含的语文元素——碑刻文字（汉代隶书、铭文）、历史典故（刘邦筑台、楚王葬制等）、人文故事（工匠造墓、百姓劳作等）、审美意象（陶俑的形态美、画像石的线条美），建立汉文化古迹与语文元素的对应关系。</w:t>
      </w:r>
    </w:p>
    <w:p w14:paraId="5017945F">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徐州汉兵马俑博物馆位于徐州东郊狮子山，1984年因工人取土烧砖偶然发现，出土陶俑4000余件，涵盖步兵、骑兵、车兵等，排列整齐，形态各异，其背后“事死如事生”的丧葬观念，与《史记·楚元王世家》中记载的汉代楚国丧葬礼仪相呼应，陶俑的形态描写可作为语文写作中“细节描写”的优质范例；龟山汉墓坐落于徐州龟山西麓，为西汉第六代楚王刘注的夫妻合葬墓，凿山为室，墓室布局精巧，甬道精度极高，墓中留存的铭文碑刻，字体为汉代隶书，笔画古朴、结构匀称，是我们学习隶书、了解汉代文字发展的重要实物，铭文内容可作为文言文阅读的拓展素材；徐州汉画像石艺术馆收藏有1600余件汉画像石，以刀为笔、以石为纸，描绘了贵族车马出行、百姓劳作、神话传说等场景，被历史学家翦伯赞称为“一部绣像的汉代史”，这些画像石的场景描写、人物刻画，可与语文课本中的记叙文、说明文写作相结合，提升我们的描写能力与审美鉴赏能力。</w:t>
      </w:r>
    </w:p>
    <w:p w14:paraId="33082618">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2.徐州汉文化古迹调研与语文素养融合的现状调研：通过访谈与问卷调查，了解八年级学生对汉文化古迹中语文元素的认知程度、对两者融合的兴趣与意愿，了解语文教师对汉文化古迹资源与语文教学融合的看法与实践情况，分析当前融合过程中存在的问题及原因。</w:t>
      </w:r>
    </w:p>
    <w:p w14:paraId="1579361F">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调研发现，徐州目前已建成多个汉文化景区与博物馆，为语文学习提供了丰富的实践载体，但汉文化古迹调研与语文素养融合仍存在诸多不足：一是学生层面，多数学生仅将古迹调研视为“参观游玩”，未能主动挖掘其中的语文元素，不会将调研所见所感转化为语文学习素材，阅读、写作与实践脱节；二是教学层面，部分语文教师未能充分利用本土汉文化古迹资源，融合教学的形式较为单一，多以课堂讲解为主，缺乏实地实践环节；三是传播层面，汉文化的传播多侧重历史价值，对其语文价值的挖掘与宣传不足，导致学生未能充分认识到汉文化古迹对语文素养提升的重要意义。问卷调查显示，83%的学生对汉兵马俑有一定了解，但仅12%能准确说出其背后的历史典故并结合语文学习谈感悟；67%的学生希望通过实地调研、作文创作、典故赏析等形式，实现汉文化与语文学习的融合。</w:t>
      </w:r>
    </w:p>
    <w:p w14:paraId="49344AD3">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3.汉文化古迹调研与八年级语文素养融合的路径探索：结合八年级语文核心素养培养要求（阅读与鉴赏、表达与交流、思维发展与提升、文化传承与理解），结合调研结果，探索具体的融合路径，让汉文化古迹调研真正服务于语文素养提升。</w:t>
      </w:r>
    </w:p>
    <w:p w14:paraId="608B83A3">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一是与阅读鉴赏融合：结合八年级语文课本中的汉代文本（如《史记》选篇、汉乐府诗歌），走进汉文化古迹，通过赏析古迹中的碑刻、典故、场景，加深对文本内容、情感内涵的理解，提升文言文阅读与诗歌鉴赏能力。例如，学习汉乐府《江南》时，结合汉画像石中百姓劳作的场景，体会诗歌中“江南可采莲，莲叶何田田”的意境美；学习《史记》中刘邦相关篇目时，走访歌风台，了解“大风起兮云飞扬”的创作背景，感受诗歌的豪迈气势，提升文本解读能力。二是与表达交流融合：将实地调研的所见所感转化为口语表达与书面写作素材，撰写调研笔记、观后感、议论文，开展汉文化典故分享会、古迹介绍演讲等活动，提升口语表达与书面写作能力。三是与思维发展融合：通过分析汉文化古迹中的语文元素、梳理历史典故与语文文本的关联，培养逻辑思维与辩证思维能力，学会从文化视角解读语文素材。四是与文化传承融合：在调研过程中，积累汉文化知识与语文素材，撰写汉文化宣传短文、制作语文手抄报，将文化传承与语文实践相结合，提升文化理解与传承能力。</w:t>
      </w:r>
    </w:p>
    <w:p w14:paraId="004664E6">
      <w:pPr>
        <w:spacing w:line="360" w:lineRule="auto"/>
        <w:ind w:firstLine="562" w:firstLineChars="201"/>
        <w:rPr>
          <w:rFonts w:asciiTheme="minorEastAsia" w:hAnsiTheme="minorEastAsia"/>
          <w:sz w:val="28"/>
          <w:szCs w:val="28"/>
        </w:rPr>
      </w:pPr>
      <w:r>
        <w:rPr>
          <w:rFonts w:hint="eastAsia" w:cs="Arial" w:asciiTheme="minorEastAsia" w:hAnsiTheme="minorEastAsia"/>
          <w:sz w:val="28"/>
          <w:szCs w:val="28"/>
        </w:rPr>
        <w:t>4.融合实践建议：结合八年级学生的认知水平与语文学习实际，提出切实可行的实践建议，如学校开展汉文化古迹研学活动、语文教师设计融合式教学任务、学生主动开展调研并积累语文素材、家庭配合参与调研活动等，确保融合路径落地可行</w:t>
      </w:r>
      <w:r>
        <w:rPr>
          <w:rFonts w:cs="Arial" w:asciiTheme="minorEastAsia" w:hAnsiTheme="minorEastAsia"/>
          <w:sz w:val="28"/>
          <w:szCs w:val="28"/>
        </w:rPr>
        <w:t>。</w:t>
      </w:r>
    </w:p>
    <w:p w14:paraId="4F40CAB0">
      <w:pPr>
        <w:spacing w:line="360" w:lineRule="auto"/>
        <w:ind w:firstLine="565" w:firstLineChars="201"/>
        <w:outlineLvl w:val="1"/>
        <w:rPr>
          <w:rFonts w:asciiTheme="minorEastAsia" w:hAnsiTheme="minorEastAsia"/>
          <w:sz w:val="28"/>
          <w:szCs w:val="28"/>
        </w:rPr>
      </w:pPr>
      <w:bookmarkStart w:id="16" w:name="heading_18"/>
      <w:r>
        <w:rPr>
          <w:rFonts w:cs="Arial" w:asciiTheme="minorEastAsia" w:hAnsiTheme="minorEastAsia"/>
          <w:b/>
          <w:sz w:val="28"/>
          <w:szCs w:val="28"/>
        </w:rPr>
        <w:t>四、课题研究方法</w:t>
      </w:r>
      <w:bookmarkEnd w:id="16"/>
    </w:p>
    <w:p w14:paraId="685F1905">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1.文献查阅法：通过查阅徐州地方史志、汉文化相关书籍、博物馆官网资料、权威新闻报道，以及八年级语文课本、语文教学相关文献，了解徐州汉文化的历史背景、古迹概况、语文元素，掌握八年级语文核心素养的培养要求，积累理论知识，为实地调研与融合路径探索奠定基础。重点查阅《江苏地方文化史·徐州卷》《徐州胜迹》、八年级语文课本（苏教版）、语文核心素养培养相关文章等。</w:t>
      </w:r>
    </w:p>
    <w:p w14:paraId="1464C197">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2.实地走访法：利用周末、节假日，前往徐州主要汉文化古迹进行实地考察，拍摄古迹照片、记录古迹细节（建筑、文物、说明文字、碑刻等），重点收集古迹中的语文元素，直观感受汉文化与语文的内在关联，撰写实地调研笔记，将所见所感与语文学习结合起来，积累写作与表达素材。</w:t>
      </w:r>
    </w:p>
    <w:p w14:paraId="4430E078">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3.访谈法：访谈徐州汉文化古迹博物馆的讲解员、工作人员，咨询汉文化相关的老师、本地文化爱好者及老人，了解古迹的历史典故、文字内涵、人文故事；访谈学校语文教师，咨询汉文化古迹资源与语文素养培养融合的方法、思路，收集真实、鲜活的访谈资料，丰富研究内容，为融合路径探索提供依据。</w:t>
      </w:r>
    </w:p>
    <w:p w14:paraId="137FD7E9">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4.问卷调查法：设计针对八年级学生的调查问卷，围绕“对徐州汉文化古迹的了解程度”“对古迹中语文元素的认知情况”“语文学习与汉文化融合的意愿”“希望的融合形式”等问题，在本校及周边学校的八年级学生中发放，收集数据，分析青少年对汉文化古迹与语文融合的认知现状与需求。</w:t>
      </w:r>
    </w:p>
    <w:p w14:paraId="639C18A4">
      <w:pPr>
        <w:spacing w:line="360" w:lineRule="auto"/>
        <w:ind w:firstLine="562" w:firstLineChars="201"/>
        <w:rPr>
          <w:rFonts w:asciiTheme="minorEastAsia" w:hAnsiTheme="minorEastAsia"/>
          <w:sz w:val="28"/>
          <w:szCs w:val="28"/>
        </w:rPr>
      </w:pPr>
      <w:r>
        <w:rPr>
          <w:rFonts w:hint="eastAsia" w:cs="Arial" w:asciiTheme="minorEastAsia" w:hAnsiTheme="minorEastAsia"/>
          <w:sz w:val="28"/>
          <w:szCs w:val="28"/>
        </w:rPr>
        <w:t>5.整理分析法：对收集到的文献资料、调研记录、访谈内容、问卷数据进行分类整理，筛选有效信息，重点分析汉文化古迹中的语文元素、八年级语文素养培养需求，梳理两者融合的内在逻辑与现存问题，结合八年级语文学习实际，探索切实可行的融合路径，形成研究结论。</w:t>
      </w:r>
      <w:r>
        <w:rPr>
          <w:rFonts w:cs="Arial" w:asciiTheme="minorEastAsia" w:hAnsiTheme="minorEastAsia"/>
          <w:sz w:val="28"/>
          <w:szCs w:val="28"/>
        </w:rPr>
        <w:t>。</w:t>
      </w:r>
    </w:p>
    <w:p w14:paraId="51239E3A">
      <w:pPr>
        <w:spacing w:line="360" w:lineRule="auto"/>
        <w:ind w:firstLine="565" w:firstLineChars="201"/>
        <w:outlineLvl w:val="1"/>
        <w:rPr>
          <w:rFonts w:asciiTheme="minorEastAsia" w:hAnsiTheme="minorEastAsia"/>
          <w:sz w:val="28"/>
          <w:szCs w:val="28"/>
        </w:rPr>
      </w:pPr>
      <w:bookmarkStart w:id="17" w:name="heading_25"/>
      <w:r>
        <w:rPr>
          <w:rFonts w:cs="Arial" w:asciiTheme="minorEastAsia" w:hAnsiTheme="minorEastAsia"/>
          <w:b/>
          <w:sz w:val="28"/>
          <w:szCs w:val="28"/>
        </w:rPr>
        <w:t>五、课题研究步骤与时间安排</w:t>
      </w:r>
      <w:bookmarkEnd w:id="17"/>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 w:type="dxa"/>
          <w:bottom w:w="0" w:type="dxa"/>
          <w:right w:w="10" w:type="dxa"/>
        </w:tblCellMar>
      </w:tblPr>
      <w:tblGrid>
        <w:gridCol w:w="2070"/>
        <w:gridCol w:w="1311"/>
        <w:gridCol w:w="2905"/>
        <w:gridCol w:w="2906"/>
      </w:tblGrid>
      <w:tr w14:paraId="5E531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jc w:val="center"/>
        </w:trPr>
        <w:tc>
          <w:tcPr>
            <w:tcW w:w="2070" w:type="dxa"/>
            <w:tcMar>
              <w:top w:w="60" w:type="dxa"/>
              <w:left w:w="120" w:type="dxa"/>
              <w:bottom w:w="30" w:type="dxa"/>
              <w:right w:w="120" w:type="dxa"/>
            </w:tcMar>
            <w:vAlign w:val="center"/>
          </w:tcPr>
          <w:p w14:paraId="5C4929B5">
            <w:pPr>
              <w:jc w:val="center"/>
              <w:rPr>
                <w:rFonts w:asciiTheme="minorEastAsia" w:hAnsiTheme="minorEastAsia"/>
                <w:sz w:val="24"/>
                <w:szCs w:val="24"/>
              </w:rPr>
            </w:pPr>
            <w:bookmarkStart w:id="18" w:name="heading_32"/>
            <w:r>
              <w:rPr>
                <w:rFonts w:cs="Arial" w:asciiTheme="minorEastAsia" w:hAnsiTheme="minorEastAsia"/>
                <w:sz w:val="24"/>
                <w:szCs w:val="24"/>
              </w:rPr>
              <w:t>研究阶段</w:t>
            </w:r>
          </w:p>
        </w:tc>
        <w:tc>
          <w:tcPr>
            <w:tcW w:w="1311" w:type="dxa"/>
            <w:tcMar>
              <w:top w:w="60" w:type="dxa"/>
              <w:left w:w="120" w:type="dxa"/>
              <w:bottom w:w="30" w:type="dxa"/>
              <w:right w:w="120" w:type="dxa"/>
            </w:tcMar>
            <w:vAlign w:val="center"/>
          </w:tcPr>
          <w:p w14:paraId="1FADA32F">
            <w:pPr>
              <w:jc w:val="center"/>
              <w:rPr>
                <w:rFonts w:asciiTheme="minorEastAsia" w:hAnsiTheme="minorEastAsia"/>
                <w:sz w:val="24"/>
                <w:szCs w:val="24"/>
              </w:rPr>
            </w:pPr>
            <w:r>
              <w:rPr>
                <w:rFonts w:cs="Arial" w:asciiTheme="minorEastAsia" w:hAnsiTheme="minorEastAsia"/>
                <w:sz w:val="24"/>
                <w:szCs w:val="24"/>
              </w:rPr>
              <w:t>时间安排</w:t>
            </w:r>
          </w:p>
        </w:tc>
        <w:tc>
          <w:tcPr>
            <w:tcW w:w="2905" w:type="dxa"/>
            <w:tcMar>
              <w:top w:w="60" w:type="dxa"/>
              <w:left w:w="120" w:type="dxa"/>
              <w:bottom w:w="30" w:type="dxa"/>
              <w:right w:w="120" w:type="dxa"/>
            </w:tcMar>
            <w:vAlign w:val="center"/>
          </w:tcPr>
          <w:p w14:paraId="54DC51F6">
            <w:pPr>
              <w:jc w:val="center"/>
              <w:rPr>
                <w:rFonts w:asciiTheme="minorEastAsia" w:hAnsiTheme="minorEastAsia"/>
                <w:sz w:val="24"/>
                <w:szCs w:val="24"/>
              </w:rPr>
            </w:pPr>
            <w:r>
              <w:rPr>
                <w:rFonts w:cs="Arial" w:asciiTheme="minorEastAsia" w:hAnsiTheme="minorEastAsia"/>
                <w:sz w:val="24"/>
                <w:szCs w:val="24"/>
              </w:rPr>
              <w:t>研究任务</w:t>
            </w:r>
          </w:p>
        </w:tc>
        <w:tc>
          <w:tcPr>
            <w:tcW w:w="2906" w:type="dxa"/>
            <w:tcMar>
              <w:top w:w="60" w:type="dxa"/>
              <w:left w:w="120" w:type="dxa"/>
              <w:bottom w:w="30" w:type="dxa"/>
              <w:right w:w="120" w:type="dxa"/>
            </w:tcMar>
            <w:vAlign w:val="center"/>
          </w:tcPr>
          <w:p w14:paraId="4A529C89">
            <w:pPr>
              <w:jc w:val="center"/>
              <w:rPr>
                <w:rFonts w:asciiTheme="minorEastAsia" w:hAnsiTheme="minorEastAsia"/>
                <w:sz w:val="24"/>
                <w:szCs w:val="24"/>
              </w:rPr>
            </w:pPr>
            <w:r>
              <w:rPr>
                <w:rFonts w:cs="Arial" w:asciiTheme="minorEastAsia" w:hAnsiTheme="minorEastAsia"/>
                <w:sz w:val="24"/>
                <w:szCs w:val="24"/>
              </w:rPr>
              <w:t>预期成果</w:t>
            </w:r>
          </w:p>
        </w:tc>
      </w:tr>
      <w:tr w14:paraId="1BB8E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jc w:val="center"/>
        </w:trPr>
        <w:tc>
          <w:tcPr>
            <w:tcW w:w="2070" w:type="dxa"/>
            <w:tcMar>
              <w:top w:w="60" w:type="dxa"/>
              <w:left w:w="120" w:type="dxa"/>
              <w:bottom w:w="30" w:type="dxa"/>
              <w:right w:w="120" w:type="dxa"/>
            </w:tcMar>
            <w:vAlign w:val="center"/>
          </w:tcPr>
          <w:p w14:paraId="6EBFCACE">
            <w:pPr>
              <w:jc w:val="center"/>
              <w:rPr>
                <w:rFonts w:asciiTheme="minorEastAsia" w:hAnsiTheme="minorEastAsia"/>
                <w:sz w:val="24"/>
                <w:szCs w:val="24"/>
              </w:rPr>
            </w:pPr>
            <w:r>
              <w:rPr>
                <w:rFonts w:cs="Arial" w:asciiTheme="minorEastAsia" w:hAnsiTheme="minorEastAsia"/>
                <w:sz w:val="24"/>
                <w:szCs w:val="24"/>
              </w:rPr>
              <w:t>准备阶段</w:t>
            </w:r>
          </w:p>
        </w:tc>
        <w:tc>
          <w:tcPr>
            <w:tcW w:w="1311" w:type="dxa"/>
            <w:tcMar>
              <w:top w:w="60" w:type="dxa"/>
              <w:left w:w="120" w:type="dxa"/>
              <w:bottom w:w="30" w:type="dxa"/>
              <w:right w:w="120" w:type="dxa"/>
            </w:tcMar>
            <w:vAlign w:val="center"/>
          </w:tcPr>
          <w:p w14:paraId="5665F962">
            <w:pPr>
              <w:jc w:val="center"/>
              <w:rPr>
                <w:rFonts w:asciiTheme="minorEastAsia" w:hAnsiTheme="minorEastAsia"/>
                <w:sz w:val="24"/>
                <w:szCs w:val="24"/>
              </w:rPr>
            </w:pPr>
            <w:r>
              <w:rPr>
                <w:rFonts w:cs="Arial" w:asciiTheme="minorEastAsia" w:hAnsiTheme="minorEastAsia"/>
                <w:sz w:val="24"/>
                <w:szCs w:val="24"/>
              </w:rPr>
              <w:t>第1-2周</w:t>
            </w:r>
          </w:p>
        </w:tc>
        <w:tc>
          <w:tcPr>
            <w:tcW w:w="2905" w:type="dxa"/>
            <w:tcMar>
              <w:top w:w="60" w:type="dxa"/>
              <w:left w:w="120" w:type="dxa"/>
              <w:bottom w:w="30" w:type="dxa"/>
              <w:right w:w="120" w:type="dxa"/>
            </w:tcMar>
            <w:vAlign w:val="center"/>
          </w:tcPr>
          <w:p w14:paraId="2279CE31">
            <w:pPr>
              <w:rPr>
                <w:rFonts w:asciiTheme="minorEastAsia" w:hAnsiTheme="minorEastAsia"/>
                <w:sz w:val="24"/>
                <w:szCs w:val="24"/>
              </w:rPr>
            </w:pPr>
            <w:r>
              <w:rPr>
                <w:rFonts w:cs="Arial" w:asciiTheme="minorEastAsia" w:hAnsiTheme="minorEastAsia"/>
                <w:sz w:val="24"/>
                <w:szCs w:val="24"/>
              </w:rPr>
              <w:t>确定课题、制定计划、查阅文献（汉文化+语文素养）、设计访谈问题与调查问卷、准备调研工具</w:t>
            </w:r>
          </w:p>
        </w:tc>
        <w:tc>
          <w:tcPr>
            <w:tcW w:w="2906" w:type="dxa"/>
            <w:tcMar>
              <w:top w:w="60" w:type="dxa"/>
              <w:left w:w="120" w:type="dxa"/>
              <w:bottom w:w="30" w:type="dxa"/>
              <w:right w:w="120" w:type="dxa"/>
            </w:tcMar>
            <w:vAlign w:val="center"/>
          </w:tcPr>
          <w:p w14:paraId="737AD325">
            <w:pPr>
              <w:rPr>
                <w:rFonts w:asciiTheme="minorEastAsia" w:hAnsiTheme="minorEastAsia"/>
                <w:sz w:val="24"/>
                <w:szCs w:val="24"/>
              </w:rPr>
            </w:pPr>
            <w:r>
              <w:rPr>
                <w:rFonts w:cs="Arial" w:asciiTheme="minorEastAsia" w:hAnsiTheme="minorEastAsia"/>
                <w:sz w:val="24"/>
                <w:szCs w:val="24"/>
              </w:rPr>
              <w:t>文献笔记、访谈问题、调查问卷、研究计划（突出融合重点）</w:t>
            </w:r>
          </w:p>
        </w:tc>
      </w:tr>
      <w:tr w14:paraId="6EE4A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jc w:val="center"/>
        </w:trPr>
        <w:tc>
          <w:tcPr>
            <w:tcW w:w="2070" w:type="dxa"/>
            <w:tcMar>
              <w:top w:w="60" w:type="dxa"/>
              <w:left w:w="120" w:type="dxa"/>
              <w:bottom w:w="30" w:type="dxa"/>
              <w:right w:w="120" w:type="dxa"/>
            </w:tcMar>
            <w:vAlign w:val="center"/>
          </w:tcPr>
          <w:p w14:paraId="78B189AC">
            <w:pPr>
              <w:jc w:val="center"/>
              <w:rPr>
                <w:rFonts w:asciiTheme="minorEastAsia" w:hAnsiTheme="minorEastAsia"/>
                <w:sz w:val="24"/>
                <w:szCs w:val="24"/>
              </w:rPr>
            </w:pPr>
            <w:r>
              <w:rPr>
                <w:rFonts w:cs="Arial" w:asciiTheme="minorEastAsia" w:hAnsiTheme="minorEastAsia"/>
                <w:sz w:val="24"/>
                <w:szCs w:val="24"/>
              </w:rPr>
              <w:t>实地调研与访谈阶段</w:t>
            </w:r>
          </w:p>
        </w:tc>
        <w:tc>
          <w:tcPr>
            <w:tcW w:w="1311" w:type="dxa"/>
            <w:tcMar>
              <w:top w:w="60" w:type="dxa"/>
              <w:left w:w="120" w:type="dxa"/>
              <w:bottom w:w="30" w:type="dxa"/>
              <w:right w:w="120" w:type="dxa"/>
            </w:tcMar>
            <w:vAlign w:val="center"/>
          </w:tcPr>
          <w:p w14:paraId="08C337B0">
            <w:pPr>
              <w:jc w:val="center"/>
              <w:rPr>
                <w:rFonts w:asciiTheme="minorEastAsia" w:hAnsiTheme="minorEastAsia"/>
                <w:sz w:val="24"/>
                <w:szCs w:val="24"/>
              </w:rPr>
            </w:pPr>
            <w:r>
              <w:rPr>
                <w:rFonts w:cs="Arial" w:asciiTheme="minorEastAsia" w:hAnsiTheme="minorEastAsia"/>
                <w:sz w:val="24"/>
                <w:szCs w:val="24"/>
              </w:rPr>
              <w:t>第3-5周</w:t>
            </w:r>
          </w:p>
        </w:tc>
        <w:tc>
          <w:tcPr>
            <w:tcW w:w="2905" w:type="dxa"/>
            <w:tcMar>
              <w:top w:w="60" w:type="dxa"/>
              <w:left w:w="120" w:type="dxa"/>
              <w:bottom w:w="30" w:type="dxa"/>
              <w:right w:w="120" w:type="dxa"/>
            </w:tcMar>
            <w:vAlign w:val="center"/>
          </w:tcPr>
          <w:p w14:paraId="2D4E3D9B">
            <w:pPr>
              <w:rPr>
                <w:rFonts w:asciiTheme="minorEastAsia" w:hAnsiTheme="minorEastAsia"/>
                <w:sz w:val="24"/>
                <w:szCs w:val="24"/>
              </w:rPr>
            </w:pPr>
            <w:r>
              <w:rPr>
                <w:rFonts w:cs="Arial" w:asciiTheme="minorEastAsia" w:hAnsiTheme="minorEastAsia"/>
                <w:sz w:val="24"/>
                <w:szCs w:val="24"/>
              </w:rPr>
              <w:t>走访汉文化古迹、收集语文元素、开展访谈、发放并回收调查问卷、记录调研信息</w:t>
            </w:r>
          </w:p>
        </w:tc>
        <w:tc>
          <w:tcPr>
            <w:tcW w:w="2906" w:type="dxa"/>
            <w:tcMar>
              <w:top w:w="60" w:type="dxa"/>
              <w:left w:w="120" w:type="dxa"/>
              <w:bottom w:w="30" w:type="dxa"/>
              <w:right w:w="120" w:type="dxa"/>
            </w:tcMar>
            <w:vAlign w:val="center"/>
          </w:tcPr>
          <w:p w14:paraId="2E9C31FD">
            <w:pPr>
              <w:rPr>
                <w:rFonts w:asciiTheme="minorEastAsia" w:hAnsiTheme="minorEastAsia"/>
                <w:sz w:val="24"/>
                <w:szCs w:val="24"/>
              </w:rPr>
            </w:pPr>
            <w:r>
              <w:rPr>
                <w:rFonts w:cs="Arial" w:asciiTheme="minorEastAsia" w:hAnsiTheme="minorEastAsia"/>
                <w:sz w:val="24"/>
                <w:szCs w:val="24"/>
              </w:rPr>
              <w:t>调研笔记（含语文元素）、访谈记录、问卷数据、古迹照片（标注语文元素）</w:t>
            </w:r>
          </w:p>
        </w:tc>
      </w:tr>
      <w:tr w14:paraId="68BAE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jc w:val="center"/>
        </w:trPr>
        <w:tc>
          <w:tcPr>
            <w:tcW w:w="2070" w:type="dxa"/>
            <w:tcMar>
              <w:top w:w="60" w:type="dxa"/>
              <w:left w:w="120" w:type="dxa"/>
              <w:bottom w:w="30" w:type="dxa"/>
              <w:right w:w="120" w:type="dxa"/>
            </w:tcMar>
            <w:vAlign w:val="center"/>
          </w:tcPr>
          <w:p w14:paraId="4D03EA00">
            <w:pPr>
              <w:jc w:val="center"/>
              <w:rPr>
                <w:rFonts w:asciiTheme="minorEastAsia" w:hAnsiTheme="minorEastAsia"/>
                <w:sz w:val="24"/>
                <w:szCs w:val="24"/>
              </w:rPr>
            </w:pPr>
            <w:r>
              <w:rPr>
                <w:rFonts w:cs="Arial" w:asciiTheme="minorEastAsia" w:hAnsiTheme="minorEastAsia"/>
                <w:sz w:val="24"/>
                <w:szCs w:val="24"/>
              </w:rPr>
              <w:t>资料整理与分析阶段</w:t>
            </w:r>
          </w:p>
        </w:tc>
        <w:tc>
          <w:tcPr>
            <w:tcW w:w="1311" w:type="dxa"/>
            <w:tcMar>
              <w:top w:w="60" w:type="dxa"/>
              <w:left w:w="120" w:type="dxa"/>
              <w:bottom w:w="30" w:type="dxa"/>
              <w:right w:w="120" w:type="dxa"/>
            </w:tcMar>
            <w:vAlign w:val="center"/>
          </w:tcPr>
          <w:p w14:paraId="53D05050">
            <w:pPr>
              <w:jc w:val="center"/>
              <w:rPr>
                <w:rFonts w:asciiTheme="minorEastAsia" w:hAnsiTheme="minorEastAsia"/>
                <w:sz w:val="24"/>
                <w:szCs w:val="24"/>
              </w:rPr>
            </w:pPr>
            <w:r>
              <w:rPr>
                <w:rFonts w:cs="Arial" w:asciiTheme="minorEastAsia" w:hAnsiTheme="minorEastAsia"/>
                <w:sz w:val="24"/>
                <w:szCs w:val="24"/>
              </w:rPr>
              <w:t>第6-7周</w:t>
            </w:r>
          </w:p>
        </w:tc>
        <w:tc>
          <w:tcPr>
            <w:tcW w:w="2905" w:type="dxa"/>
            <w:tcMar>
              <w:top w:w="60" w:type="dxa"/>
              <w:left w:w="120" w:type="dxa"/>
              <w:bottom w:w="30" w:type="dxa"/>
              <w:right w:w="120" w:type="dxa"/>
            </w:tcMar>
            <w:vAlign w:val="center"/>
          </w:tcPr>
          <w:p w14:paraId="27E44F11">
            <w:pPr>
              <w:rPr>
                <w:rFonts w:asciiTheme="minorEastAsia" w:hAnsiTheme="minorEastAsia"/>
                <w:sz w:val="24"/>
                <w:szCs w:val="24"/>
              </w:rPr>
            </w:pPr>
            <w:r>
              <w:rPr>
                <w:rFonts w:cs="Arial" w:asciiTheme="minorEastAsia" w:hAnsiTheme="minorEastAsia"/>
                <w:sz w:val="24"/>
                <w:szCs w:val="24"/>
              </w:rPr>
              <w:t>整理资料、分析语文元素与融合现状、梳理融合路径、撰写报告初稿</w:t>
            </w:r>
          </w:p>
        </w:tc>
        <w:tc>
          <w:tcPr>
            <w:tcW w:w="2906" w:type="dxa"/>
            <w:tcMar>
              <w:top w:w="60" w:type="dxa"/>
              <w:left w:w="120" w:type="dxa"/>
              <w:bottom w:w="30" w:type="dxa"/>
              <w:right w:w="120" w:type="dxa"/>
            </w:tcMar>
            <w:vAlign w:val="center"/>
          </w:tcPr>
          <w:p w14:paraId="39610290">
            <w:pPr>
              <w:rPr>
                <w:rFonts w:asciiTheme="minorEastAsia" w:hAnsiTheme="minorEastAsia"/>
                <w:sz w:val="24"/>
                <w:szCs w:val="24"/>
              </w:rPr>
            </w:pPr>
            <w:r>
              <w:rPr>
                <w:rFonts w:cs="Arial" w:asciiTheme="minorEastAsia" w:hAnsiTheme="minorEastAsia"/>
                <w:sz w:val="24"/>
                <w:szCs w:val="24"/>
              </w:rPr>
              <w:t>整理后的资料、数据分析报告、报告初稿（突出融合核心）</w:t>
            </w:r>
          </w:p>
        </w:tc>
      </w:tr>
      <w:tr w14:paraId="03C97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jc w:val="center"/>
        </w:trPr>
        <w:tc>
          <w:tcPr>
            <w:tcW w:w="2070" w:type="dxa"/>
            <w:tcMar>
              <w:top w:w="60" w:type="dxa"/>
              <w:left w:w="120" w:type="dxa"/>
              <w:bottom w:w="30" w:type="dxa"/>
              <w:right w:w="120" w:type="dxa"/>
            </w:tcMar>
            <w:vAlign w:val="center"/>
          </w:tcPr>
          <w:p w14:paraId="7607EB69">
            <w:pPr>
              <w:jc w:val="center"/>
              <w:rPr>
                <w:rFonts w:asciiTheme="minorEastAsia" w:hAnsiTheme="minorEastAsia"/>
                <w:sz w:val="24"/>
                <w:szCs w:val="24"/>
              </w:rPr>
            </w:pPr>
            <w:r>
              <w:rPr>
                <w:rFonts w:cs="Arial" w:asciiTheme="minorEastAsia" w:hAnsiTheme="minorEastAsia"/>
                <w:sz w:val="24"/>
                <w:szCs w:val="24"/>
              </w:rPr>
              <w:t>报告完善与总结阶段</w:t>
            </w:r>
          </w:p>
        </w:tc>
        <w:tc>
          <w:tcPr>
            <w:tcW w:w="1311" w:type="dxa"/>
            <w:tcMar>
              <w:top w:w="60" w:type="dxa"/>
              <w:left w:w="120" w:type="dxa"/>
              <w:bottom w:w="30" w:type="dxa"/>
              <w:right w:w="120" w:type="dxa"/>
            </w:tcMar>
            <w:vAlign w:val="center"/>
          </w:tcPr>
          <w:p w14:paraId="73A84ECE">
            <w:pPr>
              <w:jc w:val="center"/>
              <w:rPr>
                <w:rFonts w:asciiTheme="minorEastAsia" w:hAnsiTheme="minorEastAsia"/>
                <w:sz w:val="24"/>
                <w:szCs w:val="24"/>
              </w:rPr>
            </w:pPr>
            <w:r>
              <w:rPr>
                <w:rFonts w:cs="Arial" w:asciiTheme="minorEastAsia" w:hAnsiTheme="minorEastAsia"/>
                <w:sz w:val="24"/>
                <w:szCs w:val="24"/>
              </w:rPr>
              <w:t>第8周</w:t>
            </w:r>
          </w:p>
        </w:tc>
        <w:tc>
          <w:tcPr>
            <w:tcW w:w="2905" w:type="dxa"/>
            <w:tcMar>
              <w:top w:w="60" w:type="dxa"/>
              <w:left w:w="120" w:type="dxa"/>
              <w:bottom w:w="30" w:type="dxa"/>
              <w:right w:w="120" w:type="dxa"/>
            </w:tcMar>
            <w:vAlign w:val="center"/>
          </w:tcPr>
          <w:p w14:paraId="7FE1E84B">
            <w:pPr>
              <w:rPr>
                <w:rFonts w:asciiTheme="minorEastAsia" w:hAnsiTheme="minorEastAsia"/>
                <w:sz w:val="24"/>
                <w:szCs w:val="24"/>
              </w:rPr>
            </w:pPr>
            <w:r>
              <w:rPr>
                <w:rFonts w:cs="Arial" w:asciiTheme="minorEastAsia" w:hAnsiTheme="minorEastAsia"/>
                <w:sz w:val="24"/>
                <w:szCs w:val="24"/>
              </w:rPr>
              <w:t>修改报告、整理附件、总结研究收获与不足、完善融合建议</w:t>
            </w:r>
          </w:p>
        </w:tc>
        <w:tc>
          <w:tcPr>
            <w:tcW w:w="2906" w:type="dxa"/>
            <w:tcMar>
              <w:top w:w="60" w:type="dxa"/>
              <w:left w:w="120" w:type="dxa"/>
              <w:bottom w:w="30" w:type="dxa"/>
              <w:right w:w="120" w:type="dxa"/>
            </w:tcMar>
            <w:vAlign w:val="center"/>
          </w:tcPr>
          <w:p w14:paraId="17CA2159">
            <w:pPr>
              <w:rPr>
                <w:rFonts w:asciiTheme="minorEastAsia" w:hAnsiTheme="minorEastAsia"/>
                <w:sz w:val="24"/>
                <w:szCs w:val="24"/>
              </w:rPr>
            </w:pPr>
            <w:r>
              <w:rPr>
                <w:rFonts w:cs="Arial" w:asciiTheme="minorEastAsia" w:hAnsiTheme="minorEastAsia"/>
                <w:sz w:val="24"/>
                <w:szCs w:val="24"/>
              </w:rPr>
              <w:t>最终研究报告、调研资料附件、融合实践建议清单</w:t>
            </w:r>
          </w:p>
        </w:tc>
      </w:tr>
    </w:tbl>
    <w:p w14:paraId="3120A140">
      <w:pPr>
        <w:spacing w:line="360" w:lineRule="auto"/>
        <w:ind w:firstLine="565" w:firstLineChars="201"/>
        <w:outlineLvl w:val="1"/>
        <w:rPr>
          <w:rFonts w:asciiTheme="minorEastAsia" w:hAnsiTheme="minorEastAsia"/>
          <w:sz w:val="28"/>
          <w:szCs w:val="28"/>
        </w:rPr>
      </w:pPr>
      <w:r>
        <w:rPr>
          <w:rFonts w:cs="Arial" w:asciiTheme="minorEastAsia" w:hAnsiTheme="minorEastAsia"/>
          <w:b/>
          <w:sz w:val="28"/>
          <w:szCs w:val="28"/>
        </w:rPr>
        <w:t>六、预期研究成果</w:t>
      </w:r>
      <w:bookmarkEnd w:id="18"/>
    </w:p>
    <w:p w14:paraId="7C5D73FA">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1.完成一份3000字左右的个人研究课题选题报告，语句通顺、逻辑清晰、用词高雅，内容完整，重点突出徐州汉文化古迹调研与语文素养融合的核心，包含调研过程、语文元素挖掘、融合路径探索与实践建议，贴合八年级学生水平。</w:t>
      </w:r>
    </w:p>
    <w:p w14:paraId="33984C85">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2.整理一套完整的调研资料，包括文献笔记、实地调研记录、访谈记录、调查问卷、古迹照片（标注清晰语文元素）等，装订成册，作为报告附件，重点突出语文素材的积累与运用。</w:t>
      </w:r>
    </w:p>
    <w:p w14:paraId="286AED8E">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3.形成一份汉文化古迹调研与语文素养融合的实践建议清单，结合八年级语文学习要求，提出具体、可行的融合路径与实践方法，为身边的同学、语文教师提供参考，带动更多青少年通过汉文化古迹调研提升语文素养。</w:t>
      </w:r>
    </w:p>
    <w:p w14:paraId="3AA5E061">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4.提升自身的语文核心素养（阅读、写作、表达、审美）与实践探究能力，积累丰富的语文素材，增强对本土文化的热爱与文化自信，养成主动探究、乐于实践、勤于积累的良好习惯，实现文化传承与语文能力提升的双向赋能</w:t>
      </w:r>
      <w:r>
        <w:rPr>
          <w:rFonts w:cs="Arial" w:asciiTheme="minorEastAsia" w:hAnsiTheme="minorEastAsia"/>
          <w:sz w:val="28"/>
          <w:szCs w:val="28"/>
        </w:rPr>
        <w:t>。</w:t>
      </w:r>
    </w:p>
    <w:p w14:paraId="6AAE97CF">
      <w:pPr>
        <w:spacing w:line="360" w:lineRule="auto"/>
        <w:ind w:firstLine="565" w:firstLineChars="201"/>
        <w:outlineLvl w:val="1"/>
        <w:rPr>
          <w:rFonts w:asciiTheme="minorEastAsia" w:hAnsiTheme="minorEastAsia"/>
          <w:sz w:val="28"/>
          <w:szCs w:val="28"/>
        </w:rPr>
      </w:pPr>
      <w:bookmarkStart w:id="19" w:name="heading_33"/>
      <w:r>
        <w:rPr>
          <w:rFonts w:cs="Arial" w:asciiTheme="minorEastAsia" w:hAnsiTheme="minorEastAsia"/>
          <w:b/>
          <w:sz w:val="28"/>
          <w:szCs w:val="28"/>
        </w:rPr>
        <w:t>七、研究难点与解决措施</w:t>
      </w:r>
      <w:bookmarkEnd w:id="19"/>
    </w:p>
    <w:p w14:paraId="7BE8E71E">
      <w:pPr>
        <w:spacing w:line="360" w:lineRule="auto"/>
        <w:ind w:firstLine="562" w:firstLineChars="201"/>
        <w:rPr>
          <w:rFonts w:asciiTheme="minorEastAsia" w:hAnsiTheme="minorEastAsia"/>
          <w:sz w:val="28"/>
          <w:szCs w:val="28"/>
        </w:rPr>
      </w:pPr>
      <w:r>
        <w:rPr>
          <w:rFonts w:cs="Arial" w:asciiTheme="minorEastAsia" w:hAnsiTheme="minorEastAsia"/>
          <w:sz w:val="28"/>
          <w:szCs w:val="28"/>
        </w:rPr>
        <w:t>结合八年级学生的能力水平、研究实际，以及寒假春节时间特点，本次研究可能面临以下难点，提前制定解决措施，确保研究顺利推进，兼顾节日氛围与研究任务：</w:t>
      </w:r>
    </w:p>
    <w:p w14:paraId="73BAB0B7">
      <w:pPr>
        <w:spacing w:line="360" w:lineRule="auto"/>
        <w:ind w:firstLine="565" w:firstLineChars="201"/>
        <w:outlineLvl w:val="2"/>
        <w:rPr>
          <w:rFonts w:asciiTheme="minorEastAsia" w:hAnsiTheme="minorEastAsia"/>
          <w:sz w:val="28"/>
          <w:szCs w:val="28"/>
        </w:rPr>
      </w:pPr>
      <w:bookmarkStart w:id="20" w:name="heading_34"/>
      <w:r>
        <w:rPr>
          <w:rFonts w:cs="Arial" w:asciiTheme="minorEastAsia" w:hAnsiTheme="minorEastAsia"/>
          <w:b/>
          <w:sz w:val="28"/>
          <w:szCs w:val="28"/>
        </w:rPr>
        <w:t>（一）研究难点</w:t>
      </w:r>
      <w:bookmarkEnd w:id="20"/>
    </w:p>
    <w:p w14:paraId="1B608A3C">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1.</w:t>
      </w:r>
      <w:r>
        <w:rPr>
          <w:rFonts w:cs="Arial" w:asciiTheme="minorEastAsia" w:hAnsiTheme="minorEastAsia"/>
          <w:sz w:val="28"/>
          <w:szCs w:val="28"/>
        </w:rPr>
        <w:t>汉文化知识难度较大：汉代历史、文言铭文、文物价值等知识较为深奥，八年级学生认知水平有限，且丰县刘邦故里相关历史素材较为零散，可能难以深入理解，导致调研内容流于表面。</w:t>
      </w:r>
    </w:p>
    <w:p w14:paraId="7101D534">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2.</w:t>
      </w:r>
      <w:r>
        <w:rPr>
          <w:rFonts w:cs="Arial" w:asciiTheme="minorEastAsia" w:hAnsiTheme="minorEastAsia"/>
          <w:sz w:val="28"/>
          <w:szCs w:val="28"/>
        </w:rPr>
        <w:t>时间安排紧张：寒假春节期间，既要兼顾家庭团聚、节日活动，又要完成实地走访、资料整理、实践创作等研究任务，可能出现时间冲突，影响研究进度。</w:t>
      </w:r>
    </w:p>
    <w:p w14:paraId="4A6C3E71">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3.</w:t>
      </w:r>
      <w:r>
        <w:rPr>
          <w:rFonts w:cs="Arial" w:asciiTheme="minorEastAsia" w:hAnsiTheme="minorEastAsia"/>
          <w:sz w:val="28"/>
          <w:szCs w:val="28"/>
        </w:rPr>
        <w:t>资料整理难度大：调研过程中收集的资料种类多、数量大，涵盖市区与丰县两处调研地点，且包含春节相关素材，学生缺乏资料整理的经验，可能出现资料混乱、归档不规范的问题，影响研究效率。</w:t>
      </w:r>
    </w:p>
    <w:p w14:paraId="5A0D7782">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4.</w:t>
      </w:r>
      <w:r>
        <w:rPr>
          <w:rFonts w:cs="Arial" w:asciiTheme="minorEastAsia" w:hAnsiTheme="minorEastAsia"/>
          <w:sz w:val="28"/>
          <w:szCs w:val="28"/>
        </w:rPr>
        <w:t>实践创作质量不高：八年级学生的文字表达、审美设计能力有限，撰写的习作、制作的手抄报难以充分融合汉文化与春节元素，可能难以达到预期效果，难以充分体现调研成果与节日氛围。</w:t>
      </w:r>
    </w:p>
    <w:p w14:paraId="320E60EA">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5.</w:t>
      </w:r>
      <w:r>
        <w:rPr>
          <w:rFonts w:cs="Arial" w:asciiTheme="minorEastAsia" w:hAnsiTheme="minorEastAsia"/>
          <w:sz w:val="28"/>
          <w:szCs w:val="28"/>
        </w:rPr>
        <w:t>访谈技巧不足：学生缺乏访谈经验，且春节期间景区工作人员、当地居民较忙碌，可能出现提问不精准、记录不完整的问题，难以收集到有效的访谈资料。</w:t>
      </w:r>
    </w:p>
    <w:p w14:paraId="20B70C16">
      <w:pPr>
        <w:spacing w:line="360" w:lineRule="auto"/>
        <w:ind w:firstLine="565" w:firstLineChars="201"/>
        <w:outlineLvl w:val="2"/>
        <w:rPr>
          <w:rFonts w:asciiTheme="minorEastAsia" w:hAnsiTheme="minorEastAsia"/>
          <w:sz w:val="28"/>
          <w:szCs w:val="28"/>
        </w:rPr>
      </w:pPr>
      <w:bookmarkStart w:id="21" w:name="heading_35"/>
      <w:r>
        <w:rPr>
          <w:rFonts w:cs="Arial" w:asciiTheme="minorEastAsia" w:hAnsiTheme="minorEastAsia"/>
          <w:b/>
          <w:sz w:val="28"/>
          <w:szCs w:val="28"/>
        </w:rPr>
        <w:t>（二）解决措施</w:t>
      </w:r>
      <w:bookmarkEnd w:id="21"/>
    </w:p>
    <w:p w14:paraId="657A647D">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1.</w:t>
      </w:r>
      <w:r>
        <w:rPr>
          <w:rFonts w:cs="Arial" w:asciiTheme="minorEastAsia" w:hAnsiTheme="minorEastAsia"/>
          <w:sz w:val="28"/>
          <w:szCs w:val="28"/>
        </w:rPr>
        <w:t>针对“汉文化知识难度大”：提前请教语文老师、历史老师，讲解基础的汉文化知识、文言字词，重点讲解刘邦故里相关历史；查阅通俗易懂的汉文化读物、短视频资料，降低知识理解难度；走访丰县刘邦故里前，提前了解景区背景与刘邦事迹；走访过程中，认真倾听讲解员的介绍，及时提问，解决疑问。</w:t>
      </w:r>
    </w:p>
    <w:p w14:paraId="63EE7E25">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2.</w:t>
      </w:r>
      <w:r>
        <w:rPr>
          <w:rFonts w:cs="Arial" w:asciiTheme="minorEastAsia" w:hAnsiTheme="minorEastAsia"/>
          <w:sz w:val="28"/>
          <w:szCs w:val="28"/>
        </w:rPr>
        <w:t>针对“时间安排紧张”：合理规划寒假春节时间，将研究任务分解到每周、每天，利用春节家庭团聚间隙、空闲时间开展资料整理、实践创作，利用假期前期、后期开展实地走访，避开春节出行高峰与家庭重要活动；遇到时间冲突时，灵活调整走访与创作时间，采用“分批次走访、线上交流、分散创作”的方式，确保研究进度不受影响。</w:t>
      </w:r>
    </w:p>
    <w:p w14:paraId="62B35BAA">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3.</w:t>
      </w:r>
      <w:r>
        <w:rPr>
          <w:rFonts w:cs="Arial" w:asciiTheme="minorEastAsia" w:hAnsiTheme="minorEastAsia"/>
          <w:sz w:val="28"/>
          <w:szCs w:val="28"/>
        </w:rPr>
        <w:t>针对“资料整理难度大”：学习资料整理的方法，明确资料分类标准（按市区、丰县、春节素材分类）；利用文件夹、线上文档等工具，对文字资料、影像资料进行分类存放，确保资料条理清晰、便于查阅，重点梳理春节相关素材与汉文化素材的关联。</w:t>
      </w:r>
    </w:p>
    <w:p w14:paraId="5049C07E">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4.</w:t>
      </w:r>
      <w:r>
        <w:rPr>
          <w:rFonts w:cs="Arial" w:asciiTheme="minorEastAsia" w:hAnsiTheme="minorEastAsia"/>
          <w:sz w:val="28"/>
          <w:szCs w:val="28"/>
        </w:rPr>
        <w:t>针对“实践创作质量不高”：请教语文老师、美术老师，撰写习作、设计手抄报，重点指导如何融合汉文化与春节元素；收集优秀的游记、解说词、春节宣传海报案例；注重创作的真实性与实用性，结合调研内容与春节氛围，突出汉文化特色与节日元素，不追求形式化。</w:t>
      </w:r>
    </w:p>
    <w:p w14:paraId="0A3D44CF">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5.</w:t>
      </w:r>
      <w:r>
        <w:rPr>
          <w:rFonts w:cs="Arial" w:asciiTheme="minorEastAsia" w:hAnsiTheme="minorEastAsia"/>
          <w:sz w:val="28"/>
          <w:szCs w:val="28"/>
        </w:rPr>
        <w:t>针对“访谈技巧不足”：提前设计访谈提纲，围绕研究内容、春节景区活动，设计简单、精准、贴合八年级学生提问方式的问题，避免过于复杂；访谈前，模拟访谈，练习提问与记录技巧；春节期间访谈时，提前与景区工作人员、当地居民沟通，说明访谈目的，缩短访谈时间，提高效率；访谈结束后，及时整理访谈记录，补充遗漏的信息。</w:t>
      </w:r>
    </w:p>
    <w:p w14:paraId="05CF5515">
      <w:pPr>
        <w:spacing w:line="360" w:lineRule="auto"/>
        <w:ind w:firstLine="565" w:firstLineChars="201"/>
        <w:outlineLvl w:val="1"/>
        <w:rPr>
          <w:rFonts w:asciiTheme="minorEastAsia" w:hAnsiTheme="minorEastAsia"/>
          <w:sz w:val="28"/>
          <w:szCs w:val="28"/>
        </w:rPr>
      </w:pPr>
      <w:bookmarkStart w:id="22" w:name="heading_36"/>
      <w:r>
        <w:rPr>
          <w:rFonts w:cs="Arial" w:asciiTheme="minorEastAsia" w:hAnsiTheme="minorEastAsia"/>
          <w:b/>
          <w:sz w:val="28"/>
          <w:szCs w:val="28"/>
        </w:rPr>
        <w:t>八、研究保障</w:t>
      </w:r>
      <w:bookmarkEnd w:id="22"/>
    </w:p>
    <w:p w14:paraId="1286F59E">
      <w:pPr>
        <w:spacing w:line="360" w:lineRule="auto"/>
        <w:ind w:firstLine="562" w:firstLineChars="201"/>
        <w:rPr>
          <w:rFonts w:asciiTheme="minorEastAsia" w:hAnsiTheme="minorEastAsia"/>
          <w:sz w:val="28"/>
          <w:szCs w:val="28"/>
        </w:rPr>
      </w:pPr>
      <w:r>
        <w:rPr>
          <w:rFonts w:cs="Arial" w:asciiTheme="minorEastAsia" w:hAnsiTheme="minorEastAsia"/>
          <w:sz w:val="28"/>
          <w:szCs w:val="28"/>
        </w:rPr>
        <w:t>为确保本次寒假春节期间的研究顺利开展、取得实效，结合八年级学生的实际情况与假期特点，制定以下研究保障措施：</w:t>
      </w:r>
    </w:p>
    <w:p w14:paraId="144D40C4">
      <w:pPr>
        <w:spacing w:line="360" w:lineRule="auto"/>
        <w:ind w:firstLine="565" w:firstLineChars="201"/>
        <w:outlineLvl w:val="2"/>
        <w:rPr>
          <w:rFonts w:asciiTheme="minorEastAsia" w:hAnsiTheme="minorEastAsia"/>
          <w:sz w:val="28"/>
          <w:szCs w:val="28"/>
        </w:rPr>
      </w:pPr>
      <w:bookmarkStart w:id="23" w:name="heading_37"/>
      <w:r>
        <w:rPr>
          <w:rFonts w:cs="Arial" w:asciiTheme="minorEastAsia" w:hAnsiTheme="minorEastAsia"/>
          <w:b/>
          <w:sz w:val="28"/>
          <w:szCs w:val="28"/>
        </w:rPr>
        <w:t>（一）人员保障</w:t>
      </w:r>
      <w:bookmarkEnd w:id="23"/>
    </w:p>
    <w:p w14:paraId="62728E72">
      <w:pPr>
        <w:spacing w:line="360" w:lineRule="auto"/>
        <w:ind w:firstLine="562" w:firstLineChars="201"/>
        <w:rPr>
          <w:rFonts w:asciiTheme="minorEastAsia" w:hAnsiTheme="minorEastAsia"/>
          <w:sz w:val="28"/>
          <w:szCs w:val="28"/>
        </w:rPr>
      </w:pPr>
      <w:r>
        <w:rPr>
          <w:rFonts w:cs="Arial" w:asciiTheme="minorEastAsia" w:hAnsiTheme="minorEastAsia"/>
          <w:sz w:val="28"/>
          <w:szCs w:val="28"/>
        </w:rPr>
        <w:t>邀请学校语文老师、历史老师作为指导教师，通过线上方式为研究提供专业指导（如汉文化知识讲解、习作修改、研究方法指导等）；访谈博物馆讲解员、景区工作人员、丰县刘邦故里当地居民，获取第一手资料，为研究提供支撑；提前与家长沟通，争取家长支持，陪同参与实地走访（尤其是丰县刘邦故里走访），保障调研顺利。</w:t>
      </w:r>
    </w:p>
    <w:p w14:paraId="7C237232">
      <w:pPr>
        <w:spacing w:line="360" w:lineRule="auto"/>
        <w:ind w:firstLine="565" w:firstLineChars="201"/>
        <w:outlineLvl w:val="2"/>
        <w:rPr>
          <w:rFonts w:asciiTheme="minorEastAsia" w:hAnsiTheme="minorEastAsia"/>
          <w:sz w:val="28"/>
          <w:szCs w:val="28"/>
        </w:rPr>
      </w:pPr>
      <w:bookmarkStart w:id="24" w:name="heading_38"/>
      <w:r>
        <w:rPr>
          <w:rFonts w:cs="Arial" w:asciiTheme="minorEastAsia" w:hAnsiTheme="minorEastAsia"/>
          <w:b/>
          <w:sz w:val="28"/>
          <w:szCs w:val="28"/>
        </w:rPr>
        <w:t>（二）物资保障</w:t>
      </w:r>
      <w:bookmarkEnd w:id="24"/>
    </w:p>
    <w:p w14:paraId="2529FA6E">
      <w:pPr>
        <w:spacing w:line="360" w:lineRule="auto"/>
        <w:ind w:firstLine="562" w:firstLineChars="201"/>
        <w:rPr>
          <w:rFonts w:asciiTheme="minorEastAsia" w:hAnsiTheme="minorEastAsia"/>
          <w:sz w:val="28"/>
          <w:szCs w:val="28"/>
        </w:rPr>
      </w:pPr>
      <w:r>
        <w:rPr>
          <w:rFonts w:cs="Arial" w:asciiTheme="minorEastAsia" w:hAnsiTheme="minorEastAsia"/>
          <w:sz w:val="28"/>
          <w:szCs w:val="28"/>
        </w:rPr>
        <w:t>准备充足的研究工具，包括笔记本、钢笔、相机（或手机）、录音设备、资料文件夹、手抄报材料（彩纸、画笔、胶水等），确保实地走访、资料记录、实践创作等活动顺利开展；利用学校图书馆、班级图书角、互联网资源，查阅徐州市区、丰县刘邦故里汉文化相关文献资料，收集春节民俗相关素材，为研究提供知识支撑；提前了解市区与丰县景区的春节开放时间、活动安排，做好走访准备。</w:t>
      </w:r>
    </w:p>
    <w:p w14:paraId="0618DF5B">
      <w:pPr>
        <w:spacing w:line="360" w:lineRule="auto"/>
        <w:ind w:firstLine="565" w:firstLineChars="201"/>
        <w:outlineLvl w:val="2"/>
        <w:rPr>
          <w:rFonts w:asciiTheme="minorEastAsia" w:hAnsiTheme="minorEastAsia"/>
          <w:sz w:val="28"/>
          <w:szCs w:val="28"/>
        </w:rPr>
      </w:pPr>
      <w:bookmarkStart w:id="25" w:name="heading_39"/>
      <w:r>
        <w:rPr>
          <w:rFonts w:cs="Arial" w:asciiTheme="minorEastAsia" w:hAnsiTheme="minorEastAsia"/>
          <w:b/>
          <w:sz w:val="28"/>
          <w:szCs w:val="28"/>
        </w:rPr>
        <w:t>（三）安全保障</w:t>
      </w:r>
      <w:bookmarkEnd w:id="25"/>
    </w:p>
    <w:p w14:paraId="20A40358">
      <w:pPr>
        <w:spacing w:line="360" w:lineRule="auto"/>
        <w:ind w:firstLine="562" w:firstLineChars="201"/>
        <w:rPr>
          <w:rFonts w:asciiTheme="minorEastAsia" w:hAnsiTheme="minorEastAsia"/>
          <w:sz w:val="28"/>
          <w:szCs w:val="28"/>
        </w:rPr>
      </w:pPr>
      <w:r>
        <w:rPr>
          <w:rFonts w:cs="Arial" w:asciiTheme="minorEastAsia" w:hAnsiTheme="minorEastAsia"/>
          <w:sz w:val="28"/>
          <w:szCs w:val="28"/>
        </w:rPr>
        <w:t>寒假春节期间实地走访前，做好出行安全、人身安全、财物安全，尤其注意春节出行高峰的交通安全；走访过程中，由家长陪同，遵守交通规则，不擅自离队，不前往危险区域；提前告知家长走访时间、地点（尤其是丰县刘邦故里），征得家长同意，明确往返路线，确保走访安全；做好春节期间的个人防护，合理安排走访时间，避免人员聚集。</w:t>
      </w:r>
    </w:p>
    <w:p w14:paraId="02F4A5F9">
      <w:pPr>
        <w:spacing w:line="360" w:lineRule="auto"/>
        <w:ind w:firstLine="565" w:firstLineChars="201"/>
        <w:outlineLvl w:val="2"/>
        <w:rPr>
          <w:rFonts w:asciiTheme="minorEastAsia" w:hAnsiTheme="minorEastAsia"/>
          <w:sz w:val="28"/>
          <w:szCs w:val="28"/>
        </w:rPr>
      </w:pPr>
      <w:bookmarkStart w:id="26" w:name="heading_40"/>
      <w:r>
        <w:rPr>
          <w:rFonts w:cs="Arial" w:asciiTheme="minorEastAsia" w:hAnsiTheme="minorEastAsia"/>
          <w:b/>
          <w:sz w:val="28"/>
          <w:szCs w:val="28"/>
        </w:rPr>
        <w:t>（四）时间保障</w:t>
      </w:r>
      <w:bookmarkEnd w:id="26"/>
    </w:p>
    <w:p w14:paraId="4E5A1959">
      <w:pPr>
        <w:spacing w:line="360" w:lineRule="auto"/>
        <w:ind w:firstLine="562" w:firstLineChars="201"/>
        <w:rPr>
          <w:rFonts w:asciiTheme="minorEastAsia" w:hAnsiTheme="minorEastAsia"/>
          <w:sz w:val="28"/>
          <w:szCs w:val="28"/>
        </w:rPr>
      </w:pPr>
      <w:r>
        <w:rPr>
          <w:rFonts w:cs="Arial" w:asciiTheme="minorEastAsia" w:hAnsiTheme="minorEastAsia"/>
          <w:sz w:val="28"/>
          <w:szCs w:val="28"/>
        </w:rPr>
        <w:t>合理规划周末和假期安排，将研究任务分解到每周、每天，利用假期初期开展准备工作，中期开展实地走访与实践创作，后期进行总结完善，避免占用春节家庭团聚的重要时间，确保研究按时完成，兼顾节日氛围与研究任务。</w:t>
      </w:r>
    </w:p>
    <w:sectPr>
      <w:pgSz w:w="11905" w:h="16840"/>
      <w:pgMar w:top="1418" w:right="1418" w:bottom="1418"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5D6F5D"/>
    <w:rsid w:val="00007101"/>
    <w:rsid w:val="00086B6C"/>
    <w:rsid w:val="000A519C"/>
    <w:rsid w:val="000C2AFE"/>
    <w:rsid w:val="001C69A5"/>
    <w:rsid w:val="002A2374"/>
    <w:rsid w:val="00385E1B"/>
    <w:rsid w:val="003B2B10"/>
    <w:rsid w:val="003C671B"/>
    <w:rsid w:val="00415DC9"/>
    <w:rsid w:val="005C12FE"/>
    <w:rsid w:val="005C7692"/>
    <w:rsid w:val="005D6F5D"/>
    <w:rsid w:val="00636AAC"/>
    <w:rsid w:val="007B031F"/>
    <w:rsid w:val="007E7C68"/>
    <w:rsid w:val="008371B8"/>
    <w:rsid w:val="008405E5"/>
    <w:rsid w:val="008647FB"/>
    <w:rsid w:val="008E6D72"/>
    <w:rsid w:val="00955A99"/>
    <w:rsid w:val="009846B7"/>
    <w:rsid w:val="009B47B0"/>
    <w:rsid w:val="00A55526"/>
    <w:rsid w:val="00B12262"/>
    <w:rsid w:val="00B36704"/>
    <w:rsid w:val="00B576EC"/>
    <w:rsid w:val="00BF483C"/>
    <w:rsid w:val="00C84571"/>
    <w:rsid w:val="00D045E7"/>
    <w:rsid w:val="00E9005E"/>
    <w:rsid w:val="00F90C75"/>
    <w:rsid w:val="00F95F68"/>
    <w:rsid w:val="5252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Char"/>
    <w:basedOn w:val="7"/>
    <w:link w:val="2"/>
    <w:semiHidden/>
    <w:uiPriority w:val="99"/>
    <w:rPr>
      <w:sz w:val="18"/>
      <w:szCs w:val="18"/>
    </w:rPr>
  </w:style>
  <w:style w:type="character" w:customStyle="1" w:styleId="9">
    <w:name w:val="页眉 Char"/>
    <w:basedOn w:val="7"/>
    <w:link w:val="4"/>
    <w:uiPriority w:val="99"/>
    <w:rPr>
      <w:sz w:val="18"/>
      <w:szCs w:val="18"/>
    </w:rPr>
  </w:style>
  <w:style w:type="character" w:customStyle="1" w:styleId="10">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89035-19A0-471D-AE7D-D21D315CA78E}">
  <ds:schemaRefs/>
</ds:datastoreItem>
</file>

<file path=docProps/app.xml><?xml version="1.0" encoding="utf-8"?>
<Properties xmlns="http://schemas.openxmlformats.org/officeDocument/2006/extended-properties" xmlns:vt="http://schemas.openxmlformats.org/officeDocument/2006/docPropsVTypes">
  <Template>Normal</Template>
  <Pages>12</Pages>
  <Words>6896</Words>
  <Characters>6957</Characters>
  <Lines>50</Lines>
  <Paragraphs>14</Paragraphs>
  <TotalTime>54</TotalTime>
  <ScaleCrop>false</ScaleCrop>
  <LinksUpToDate>false</LinksUpToDate>
  <CharactersWithSpaces>6958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2026-02-25T13:21:00Z</dcterms:created>
  <dc:creator>Apache POI</dc:creator>
  <cp:lastModifiedBy>张秀全</cp:lastModifiedBy>
  <dcterms:modified xsi:type="dcterms:W3CDTF">2026-03-18T08:19:32Z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eyJoZGlkIjoiODgxMjIxNDc0OGQ4MGE2OWUzZjU0OGYxOTM2MGI3ZTUiLCJ1c2VySWQiOiIxNjkyNzQyMzkyIn0=</vt:lpwstr>
  </property>
  <property fmtid="{D5CDD505-2E9C-101B-9397-08002B2CF9AE}" pid="3" name="KSOProductBuildVer">
    <vt:lpwstr>2052-12.1.0.23542</vt:lpwstr>
  </property>
  <property fmtid="{D5CDD505-2E9C-101B-9397-08002B2CF9AE}" pid="4" name="ICV">
    <vt:lpwstr>4CA79BBD54C64D15826BBFC276E693F9_12</vt:lpwstr>
  </property>
</Properties>
</file>